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CD5" w:rsidRPr="00721567" w:rsidRDefault="00370CD5" w:rsidP="00EE5A5E">
      <w:pPr>
        <w:rPr>
          <w:sz w:val="20"/>
        </w:rPr>
      </w:pPr>
      <w:bookmarkStart w:id="0" w:name="_GoBack"/>
      <w:bookmarkEnd w:id="0"/>
    </w:p>
    <w:p w:rsidR="00294F81" w:rsidRDefault="00294F81" w:rsidP="00651D87">
      <w:pPr>
        <w:widowControl/>
        <w:spacing w:line="360" w:lineRule="auto"/>
        <w:rPr>
          <w:b/>
          <w:sz w:val="20"/>
        </w:rPr>
      </w:pPr>
    </w:p>
    <w:p w:rsidR="00CA5AD6" w:rsidRPr="00721567" w:rsidRDefault="00CA5AD6" w:rsidP="00651D87">
      <w:pPr>
        <w:widowControl/>
        <w:spacing w:line="360" w:lineRule="auto"/>
        <w:rPr>
          <w:sz w:val="20"/>
        </w:rPr>
      </w:pPr>
      <w:r w:rsidRPr="00721567">
        <w:rPr>
          <w:b/>
          <w:sz w:val="20"/>
        </w:rPr>
        <w:t>AGENCY</w:t>
      </w:r>
      <w:r w:rsidRPr="00721567">
        <w:rPr>
          <w:sz w:val="20"/>
        </w:rPr>
        <w:t xml:space="preserve">:   </w:t>
      </w:r>
      <w:r w:rsidR="006A1A73">
        <w:rPr>
          <w:sz w:val="20"/>
        </w:rPr>
        <w:tab/>
      </w:r>
      <w:r w:rsidRPr="00721567">
        <w:rPr>
          <w:sz w:val="20"/>
        </w:rPr>
        <w:t>N.C. Department of the Secretary of State, Notary Enforcement Division.</w:t>
      </w:r>
    </w:p>
    <w:p w:rsidR="00CA5AD6" w:rsidRPr="00721567" w:rsidRDefault="00CA5AD6" w:rsidP="00651D87">
      <w:pPr>
        <w:widowControl/>
        <w:spacing w:line="360" w:lineRule="auto"/>
        <w:rPr>
          <w:sz w:val="20"/>
        </w:rPr>
      </w:pPr>
      <w:r w:rsidRPr="00721567">
        <w:rPr>
          <w:b/>
          <w:sz w:val="20"/>
        </w:rPr>
        <w:t>ACTION</w:t>
      </w:r>
      <w:r w:rsidRPr="00721567">
        <w:rPr>
          <w:sz w:val="20"/>
        </w:rPr>
        <w:t xml:space="preserve">:   </w:t>
      </w:r>
      <w:r w:rsidR="006A1A73">
        <w:rPr>
          <w:sz w:val="20"/>
        </w:rPr>
        <w:tab/>
      </w:r>
      <w:r w:rsidRPr="00721567">
        <w:rPr>
          <w:sz w:val="20"/>
        </w:rPr>
        <w:t>Advance Notice of Proposed Rulemaking (ANPR) and Request for Public Comments</w:t>
      </w:r>
    </w:p>
    <w:p w:rsidR="00CA5AD6" w:rsidRPr="00721567" w:rsidRDefault="00CA5AD6" w:rsidP="00651D87">
      <w:pPr>
        <w:widowControl/>
        <w:spacing w:line="360" w:lineRule="auto"/>
        <w:rPr>
          <w:sz w:val="20"/>
        </w:rPr>
      </w:pPr>
      <w:r w:rsidRPr="00721567">
        <w:rPr>
          <w:b/>
          <w:sz w:val="20"/>
        </w:rPr>
        <w:t>DEADLINE FOR SUBMITTING COMMENTS:</w:t>
      </w:r>
      <w:r w:rsidRPr="00721567">
        <w:rPr>
          <w:sz w:val="20"/>
        </w:rPr>
        <w:t xml:space="preserve">  </w:t>
      </w:r>
      <w:r w:rsidR="006A1A73">
        <w:rPr>
          <w:sz w:val="20"/>
        </w:rPr>
        <w:tab/>
      </w:r>
      <w:r w:rsidRPr="00721567">
        <w:rPr>
          <w:sz w:val="20"/>
        </w:rPr>
        <w:t xml:space="preserve">11:59 p.m. on November </w:t>
      </w:r>
      <w:r w:rsidR="003E4740">
        <w:rPr>
          <w:sz w:val="20"/>
        </w:rPr>
        <w:t>30</w:t>
      </w:r>
      <w:r w:rsidRPr="00721567">
        <w:rPr>
          <w:sz w:val="20"/>
        </w:rPr>
        <w:t>, 2022</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b/>
          <w:sz w:val="20"/>
        </w:rPr>
      </w:pPr>
      <w:r w:rsidRPr="00651D87">
        <w:rPr>
          <w:b/>
          <w:caps/>
          <w:sz w:val="20"/>
        </w:rPr>
        <w:t>Advance Notice of Proposed Rulemaking and Department of Secretary of State (Agency) Request for Public Comments</w:t>
      </w:r>
    </w:p>
    <w:p w:rsidR="00CA5AD6" w:rsidRPr="00721567" w:rsidRDefault="00CA5AD6" w:rsidP="00651D87">
      <w:pPr>
        <w:widowControl/>
        <w:spacing w:line="360" w:lineRule="auto"/>
        <w:rPr>
          <w:sz w:val="20"/>
        </w:rPr>
      </w:pPr>
    </w:p>
    <w:p w:rsidR="00701912" w:rsidRDefault="00CA5AD6" w:rsidP="00651D87">
      <w:pPr>
        <w:widowControl/>
        <w:spacing w:line="360" w:lineRule="auto"/>
        <w:rPr>
          <w:sz w:val="20"/>
        </w:rPr>
      </w:pPr>
      <w:r w:rsidRPr="00721567">
        <w:rPr>
          <w:sz w:val="20"/>
        </w:rPr>
        <w:t>The Department of the Secretary of State (Agency) is issuing this advance notice of proposed rulemaking (ANPR) to request public comment on significant questions related to the implementation of the Remote Electronic Notarization Act (RENA)</w:t>
      </w:r>
      <w:r w:rsidR="00E877EF" w:rsidRPr="00721567">
        <w:rPr>
          <w:sz w:val="20"/>
        </w:rPr>
        <w:t xml:space="preserve">.  </w:t>
      </w:r>
      <w:r w:rsidR="005B41F7">
        <w:rPr>
          <w:sz w:val="20"/>
        </w:rPr>
        <w:t xml:space="preserve">This </w:t>
      </w:r>
      <w:r w:rsidRPr="00721567">
        <w:rPr>
          <w:sz w:val="20"/>
        </w:rPr>
        <w:t xml:space="preserve">law </w:t>
      </w:r>
      <w:r w:rsidR="005B41F7">
        <w:rPr>
          <w:sz w:val="20"/>
        </w:rPr>
        <w:t xml:space="preserve">became effective </w:t>
      </w:r>
      <w:r w:rsidRPr="00721567">
        <w:rPr>
          <w:sz w:val="20"/>
        </w:rPr>
        <w:t>July 8, 2022</w:t>
      </w:r>
      <w:r w:rsidR="00E877EF" w:rsidRPr="00721567">
        <w:rPr>
          <w:sz w:val="20"/>
        </w:rPr>
        <w:t xml:space="preserve">.  </w:t>
      </w:r>
      <w:hyperlink r:id="rId8" w:history="1">
        <w:r w:rsidRPr="00721567">
          <w:rPr>
            <w:rStyle w:val="Hyperlink"/>
            <w:sz w:val="20"/>
          </w:rPr>
          <w:t>N.C. Session Law 2022-54</w:t>
        </w:r>
      </w:hyperlink>
      <w:r w:rsidRPr="00721567">
        <w:rPr>
          <w:sz w:val="20"/>
        </w:rPr>
        <w:t xml:space="preserve">.  RENA </w:t>
      </w:r>
      <w:r w:rsidR="005B41F7">
        <w:rPr>
          <w:sz w:val="20"/>
        </w:rPr>
        <w:t xml:space="preserve">primarily </w:t>
      </w:r>
      <w:r w:rsidRPr="00721567">
        <w:rPr>
          <w:sz w:val="20"/>
        </w:rPr>
        <w:t xml:space="preserve">amends </w:t>
      </w:r>
      <w:r w:rsidR="005B41F7">
        <w:rPr>
          <w:sz w:val="20"/>
        </w:rPr>
        <w:t xml:space="preserve">Article 2 of </w:t>
      </w:r>
      <w:r w:rsidRPr="00721567">
        <w:rPr>
          <w:sz w:val="20"/>
        </w:rPr>
        <w:t>Chapter 10B, Notary Public Act, in the North Carolina General Statutes</w:t>
      </w:r>
      <w:r w:rsidR="005B41F7">
        <w:rPr>
          <w:sz w:val="20"/>
        </w:rPr>
        <w:t xml:space="preserve">, and those changes have been codified at G.S. 10B-134 </w:t>
      </w:r>
      <w:r w:rsidR="005B41F7">
        <w:rPr>
          <w:i/>
          <w:sz w:val="20"/>
        </w:rPr>
        <w:t>et seq</w:t>
      </w:r>
      <w:r w:rsidRPr="00721567">
        <w:rPr>
          <w:sz w:val="20"/>
        </w:rPr>
        <w:t xml:space="preserve">. Adoption of RENA was a direct outcome of the global pandemic, </w:t>
      </w:r>
      <w:r w:rsidR="00701912">
        <w:rPr>
          <w:sz w:val="20"/>
        </w:rPr>
        <w:t xml:space="preserve">which </w:t>
      </w:r>
      <w:r w:rsidRPr="00721567">
        <w:rPr>
          <w:sz w:val="20"/>
        </w:rPr>
        <w:t>increas</w:t>
      </w:r>
      <w:r w:rsidR="00701912">
        <w:rPr>
          <w:sz w:val="20"/>
        </w:rPr>
        <w:t>ed</w:t>
      </w:r>
      <w:r w:rsidRPr="00721567">
        <w:rPr>
          <w:sz w:val="20"/>
        </w:rPr>
        <w:t xml:space="preserve"> economic activity being conducted remotely</w:t>
      </w:r>
      <w:r w:rsidR="00E877EF" w:rsidRPr="00721567">
        <w:rPr>
          <w:sz w:val="20"/>
        </w:rPr>
        <w:t>, and</w:t>
      </w:r>
      <w:r w:rsidRPr="00721567">
        <w:rPr>
          <w:sz w:val="20"/>
        </w:rPr>
        <w:t xml:space="preserve"> </w:t>
      </w:r>
      <w:r w:rsidR="00701912">
        <w:rPr>
          <w:sz w:val="20"/>
        </w:rPr>
        <w:t xml:space="preserve">established the necessity </w:t>
      </w:r>
      <w:r w:rsidRPr="00721567">
        <w:rPr>
          <w:sz w:val="20"/>
        </w:rPr>
        <w:t>to conduct crucial business, legal, health-care, and other transactions safely and securely and efficiently in the rapidly changing remote environment.</w:t>
      </w:r>
      <w:r w:rsidR="00102CE7">
        <w:rPr>
          <w:sz w:val="20"/>
        </w:rPr>
        <w:t xml:space="preserve"> </w:t>
      </w:r>
    </w:p>
    <w:p w:rsidR="00701912" w:rsidRDefault="00701912" w:rsidP="00651D87">
      <w:pPr>
        <w:widowControl/>
        <w:spacing w:line="360" w:lineRule="auto"/>
        <w:rPr>
          <w:sz w:val="20"/>
        </w:rPr>
      </w:pPr>
    </w:p>
    <w:p w:rsidR="00CA5AD6" w:rsidRPr="00721567" w:rsidRDefault="00053D1A" w:rsidP="00651D87">
      <w:pPr>
        <w:widowControl/>
        <w:spacing w:line="360" w:lineRule="auto"/>
        <w:rPr>
          <w:sz w:val="20"/>
        </w:rPr>
      </w:pPr>
      <w:r>
        <w:rPr>
          <w:sz w:val="20"/>
        </w:rPr>
        <w:t xml:space="preserve">There is </w:t>
      </w:r>
      <w:r w:rsidR="00036C9D">
        <w:rPr>
          <w:sz w:val="20"/>
        </w:rPr>
        <w:t xml:space="preserve">widespread </w:t>
      </w:r>
      <w:r w:rsidR="00102CE7">
        <w:rPr>
          <w:sz w:val="20"/>
        </w:rPr>
        <w:t xml:space="preserve">interest in </w:t>
      </w:r>
      <w:r w:rsidR="00701912">
        <w:rPr>
          <w:sz w:val="20"/>
        </w:rPr>
        <w:t xml:space="preserve">the </w:t>
      </w:r>
      <w:r w:rsidR="00102CE7">
        <w:rPr>
          <w:sz w:val="20"/>
        </w:rPr>
        <w:t>implementation of RENA</w:t>
      </w:r>
      <w:r>
        <w:rPr>
          <w:sz w:val="20"/>
        </w:rPr>
        <w:t>.  T</w:t>
      </w:r>
      <w:r w:rsidR="00102CE7">
        <w:rPr>
          <w:sz w:val="20"/>
        </w:rPr>
        <w:t xml:space="preserve">he Agency is publishing this ANPR in order to provide </w:t>
      </w:r>
      <w:r w:rsidR="00036C9D">
        <w:rPr>
          <w:sz w:val="20"/>
        </w:rPr>
        <w:t xml:space="preserve">stakeholders </w:t>
      </w:r>
      <w:r w:rsidR="00102CE7">
        <w:rPr>
          <w:sz w:val="20"/>
        </w:rPr>
        <w:t>with an early opportunity to provide input into the</w:t>
      </w:r>
      <w:r w:rsidR="00E1112E">
        <w:rPr>
          <w:sz w:val="20"/>
        </w:rPr>
        <w:t xml:space="preserve"> </w:t>
      </w:r>
      <w:r w:rsidR="00102CE7">
        <w:rPr>
          <w:sz w:val="20"/>
        </w:rPr>
        <w:t xml:space="preserve">rules </w:t>
      </w:r>
      <w:r w:rsidR="00B507BB">
        <w:rPr>
          <w:sz w:val="20"/>
        </w:rPr>
        <w:t xml:space="preserve">the Agency must draft </w:t>
      </w:r>
      <w:r w:rsidR="00E1112E">
        <w:rPr>
          <w:sz w:val="20"/>
        </w:rPr>
        <w:t>in order to implement RENA</w:t>
      </w:r>
      <w:r w:rsidR="00102CE7">
        <w:rPr>
          <w:sz w:val="20"/>
        </w:rPr>
        <w:t xml:space="preserve">.  The Agency is using its best efforts to circulate this ANPR </w:t>
      </w:r>
      <w:r w:rsidR="00701912">
        <w:rPr>
          <w:sz w:val="20"/>
        </w:rPr>
        <w:t xml:space="preserve">widely </w:t>
      </w:r>
      <w:r w:rsidR="00102CE7">
        <w:rPr>
          <w:sz w:val="20"/>
        </w:rPr>
        <w:t>to persons likely to have an interest in rules implementing RENA</w:t>
      </w:r>
      <w:r w:rsidR="00701912">
        <w:rPr>
          <w:sz w:val="20"/>
        </w:rPr>
        <w:t xml:space="preserve">.  The Agency was unsuccessful in having this ANPR published in the official North Carolina Register, and consequently </w:t>
      </w:r>
      <w:r w:rsidR="00F10618">
        <w:rPr>
          <w:sz w:val="20"/>
        </w:rPr>
        <w:t>requests</w:t>
      </w:r>
      <w:r w:rsidR="00F035FC">
        <w:rPr>
          <w:sz w:val="20"/>
        </w:rPr>
        <w:t xml:space="preserve"> </w:t>
      </w:r>
      <w:r w:rsidR="00B507BB">
        <w:rPr>
          <w:sz w:val="20"/>
        </w:rPr>
        <w:t>the public</w:t>
      </w:r>
      <w:r w:rsidR="00F035FC">
        <w:rPr>
          <w:sz w:val="20"/>
        </w:rPr>
        <w:t>’s help</w:t>
      </w:r>
      <w:r w:rsidR="00B507BB">
        <w:rPr>
          <w:sz w:val="20"/>
        </w:rPr>
        <w:t xml:space="preserve"> in </w:t>
      </w:r>
      <w:r w:rsidR="00F10618">
        <w:rPr>
          <w:sz w:val="20"/>
        </w:rPr>
        <w:t>broad</w:t>
      </w:r>
      <w:r w:rsidR="00B507BB">
        <w:rPr>
          <w:sz w:val="20"/>
        </w:rPr>
        <w:t xml:space="preserve">ly circulating </w:t>
      </w:r>
      <w:r w:rsidR="00F035FC">
        <w:rPr>
          <w:sz w:val="20"/>
        </w:rPr>
        <w:t xml:space="preserve">notice of </w:t>
      </w:r>
      <w:r w:rsidR="00F10618">
        <w:rPr>
          <w:sz w:val="20"/>
        </w:rPr>
        <w:t>this ANPR</w:t>
      </w:r>
      <w:r w:rsidR="00895C10">
        <w:rPr>
          <w:sz w:val="20"/>
        </w:rPr>
        <w:t>.</w:t>
      </w:r>
    </w:p>
    <w:p w:rsidR="00CA5AD6" w:rsidRPr="00721567" w:rsidRDefault="00CA5AD6" w:rsidP="00651D87">
      <w:pPr>
        <w:widowControl/>
        <w:spacing w:line="360" w:lineRule="auto"/>
        <w:rPr>
          <w:sz w:val="20"/>
        </w:rPr>
      </w:pPr>
    </w:p>
    <w:p w:rsidR="00CA5AD6" w:rsidRPr="00DA1F73" w:rsidRDefault="00CA5AD6" w:rsidP="00651D87">
      <w:pPr>
        <w:widowControl/>
        <w:spacing w:line="360" w:lineRule="auto"/>
        <w:rPr>
          <w:sz w:val="20"/>
        </w:rPr>
      </w:pPr>
      <w:r w:rsidRPr="00DA1F73">
        <w:rPr>
          <w:sz w:val="20"/>
        </w:rPr>
        <w:t xml:space="preserve">RENA </w:t>
      </w:r>
      <w:r w:rsidR="00036C9D">
        <w:rPr>
          <w:sz w:val="20"/>
        </w:rPr>
        <w:t xml:space="preserve">obligates </w:t>
      </w:r>
      <w:r w:rsidRPr="00DA1F73">
        <w:rPr>
          <w:sz w:val="20"/>
        </w:rPr>
        <w:t>the Agency to adopt permanent rules on a large number of topics.  The Agency</w:t>
      </w:r>
      <w:r w:rsidR="00E86B13" w:rsidRPr="00DA1F73">
        <w:rPr>
          <w:sz w:val="20"/>
        </w:rPr>
        <w:t>’</w:t>
      </w:r>
      <w:r w:rsidRPr="00DA1F73">
        <w:rPr>
          <w:sz w:val="20"/>
        </w:rPr>
        <w:t xml:space="preserve">s goal is to establish a system that will continue to </w:t>
      </w:r>
      <w:r w:rsidR="00036C9D">
        <w:rPr>
          <w:sz w:val="20"/>
        </w:rPr>
        <w:t xml:space="preserve">promote </w:t>
      </w:r>
      <w:r w:rsidRPr="00DA1F73">
        <w:rPr>
          <w:sz w:val="20"/>
        </w:rPr>
        <w:t xml:space="preserve">public </w:t>
      </w:r>
      <w:r w:rsidR="00036C9D">
        <w:rPr>
          <w:sz w:val="20"/>
        </w:rPr>
        <w:t xml:space="preserve">confidence in the reliability of signatures and the identification of </w:t>
      </w:r>
      <w:r w:rsidR="00E1112E">
        <w:rPr>
          <w:sz w:val="20"/>
        </w:rPr>
        <w:t xml:space="preserve">remotely located </w:t>
      </w:r>
      <w:r w:rsidR="00036C9D">
        <w:rPr>
          <w:sz w:val="20"/>
        </w:rPr>
        <w:t xml:space="preserve">principals to </w:t>
      </w:r>
      <w:r w:rsidRPr="00DA1F73">
        <w:rPr>
          <w:sz w:val="20"/>
        </w:rPr>
        <w:t>ensure that transactions are not repudiated as a result of:</w:t>
      </w:r>
    </w:p>
    <w:p w:rsidR="00CA5AD6" w:rsidRPr="00DA1F73" w:rsidRDefault="00DA1F73" w:rsidP="00651D87">
      <w:pPr>
        <w:pStyle w:val="ListParagraph"/>
        <w:numPr>
          <w:ilvl w:val="0"/>
          <w:numId w:val="14"/>
        </w:numPr>
        <w:tabs>
          <w:tab w:val="left" w:pos="900"/>
        </w:tabs>
        <w:spacing w:line="360" w:lineRule="auto"/>
        <w:ind w:left="720" w:firstLine="0"/>
        <w:rPr>
          <w:color w:val="auto"/>
          <w:sz w:val="20"/>
        </w:rPr>
      </w:pPr>
      <w:r>
        <w:rPr>
          <w:color w:val="auto"/>
          <w:sz w:val="20"/>
        </w:rPr>
        <w:t xml:space="preserve">  </w:t>
      </w:r>
      <w:r w:rsidR="00CA5AD6" w:rsidRPr="00DA1F73">
        <w:rPr>
          <w:color w:val="auto"/>
          <w:sz w:val="20"/>
        </w:rPr>
        <w:t>Mental incapacity of the principal;</w:t>
      </w:r>
    </w:p>
    <w:p w:rsidR="00CA5AD6" w:rsidRPr="00DA1F73" w:rsidRDefault="00DA1F73" w:rsidP="00651D87">
      <w:pPr>
        <w:pStyle w:val="ListParagraph"/>
        <w:numPr>
          <w:ilvl w:val="0"/>
          <w:numId w:val="14"/>
        </w:numPr>
        <w:tabs>
          <w:tab w:val="left" w:pos="900"/>
        </w:tabs>
        <w:spacing w:line="360" w:lineRule="auto"/>
        <w:ind w:left="720" w:firstLine="0"/>
        <w:rPr>
          <w:color w:val="auto"/>
          <w:sz w:val="20"/>
        </w:rPr>
      </w:pPr>
      <w:r>
        <w:rPr>
          <w:color w:val="auto"/>
          <w:sz w:val="20"/>
        </w:rPr>
        <w:t xml:space="preserve">  </w:t>
      </w:r>
      <w:r w:rsidR="00CA5AD6" w:rsidRPr="00DA1F73">
        <w:rPr>
          <w:color w:val="auto"/>
          <w:sz w:val="20"/>
        </w:rPr>
        <w:t>Coercion or duress; or</w:t>
      </w:r>
    </w:p>
    <w:p w:rsidR="00CA5AD6" w:rsidRPr="00DA1F73" w:rsidRDefault="00DA1F73" w:rsidP="00651D87">
      <w:pPr>
        <w:pStyle w:val="ListParagraph"/>
        <w:numPr>
          <w:ilvl w:val="0"/>
          <w:numId w:val="14"/>
        </w:numPr>
        <w:tabs>
          <w:tab w:val="left" w:pos="900"/>
        </w:tabs>
        <w:spacing w:line="360" w:lineRule="auto"/>
        <w:ind w:left="720" w:firstLine="0"/>
        <w:rPr>
          <w:color w:val="auto"/>
          <w:sz w:val="20"/>
        </w:rPr>
      </w:pPr>
      <w:r>
        <w:rPr>
          <w:color w:val="auto"/>
          <w:sz w:val="20"/>
        </w:rPr>
        <w:t xml:space="preserve">  </w:t>
      </w:r>
      <w:r w:rsidR="00CA5AD6" w:rsidRPr="00DA1F73">
        <w:rPr>
          <w:color w:val="auto"/>
          <w:sz w:val="20"/>
        </w:rPr>
        <w:t>Fraud.</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lastRenderedPageBreak/>
        <w:t xml:space="preserve">In this ANPR the Agency seeks public input on the role of the remote electronic notary </w:t>
      </w:r>
      <w:r w:rsidR="00BA12E1">
        <w:rPr>
          <w:sz w:val="20"/>
        </w:rPr>
        <w:t xml:space="preserve">public </w:t>
      </w:r>
      <w:r w:rsidRPr="00721567">
        <w:rPr>
          <w:sz w:val="20"/>
        </w:rPr>
        <w:t>(RENP) and the general procedures and standards needed to implement RENA so as to ensure the effectiveness, efficiency and integrity of the notarial acts and processes contemplated under RENA.  The Agency is not required to request public comment at this stage of the rulemaking process</w:t>
      </w:r>
      <w:r w:rsidR="00E877EF" w:rsidRPr="00721567">
        <w:rPr>
          <w:sz w:val="20"/>
        </w:rPr>
        <w:t xml:space="preserve">.  </w:t>
      </w:r>
      <w:r w:rsidRPr="00721567">
        <w:rPr>
          <w:sz w:val="20"/>
        </w:rPr>
        <w:t>The Agency nonetheless requests stakeholder input in order to provide for a well-informed, transparent rulemaking process that leads to effective, comprehensive and understandable permanent rules.  In a second ANPR the Agency will seek public comment regarding the technical features, specifications, and standards applicable to the communication, credential analysis, and identity proofing technologies contemplated under RENA.</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 xml:space="preserve">RENA </w:t>
      </w:r>
      <w:r w:rsidR="00E877EF" w:rsidRPr="00721567">
        <w:rPr>
          <w:sz w:val="20"/>
        </w:rPr>
        <w:t>allows qualified</w:t>
      </w:r>
      <w:r w:rsidRPr="00721567">
        <w:rPr>
          <w:sz w:val="20"/>
        </w:rPr>
        <w:t xml:space="preserve"> Notaries Public and certain principal signers to complete an electronic notarial act even if the notary and the principal are in different physical locations.  These parties must use real time online communication technology</w:t>
      </w:r>
      <w:r w:rsidR="00244D02">
        <w:rPr>
          <w:sz w:val="20"/>
        </w:rPr>
        <w:t xml:space="preserve"> authorized by the Secretary</w:t>
      </w:r>
      <w:r w:rsidRPr="00721567">
        <w:rPr>
          <w:sz w:val="20"/>
        </w:rPr>
        <w:t xml:space="preserve"> and the </w:t>
      </w:r>
      <w:r w:rsidR="008865F6">
        <w:rPr>
          <w:sz w:val="20"/>
        </w:rPr>
        <w:t xml:space="preserve">performance of the </w:t>
      </w:r>
      <w:r w:rsidRPr="00721567">
        <w:rPr>
          <w:sz w:val="20"/>
        </w:rPr>
        <w:t xml:space="preserve">remote electronic notarial act (REN) may take place only after proper identification of the principal.  At the time of the REN, the notary (which in most cases must be an electronic notary) must be physically located in North Carolina, while the principal may be located anywhere inside the United States, or under certain circumstances at US military installations or embassies. </w:t>
      </w:r>
    </w:p>
    <w:p w:rsidR="000C5E85" w:rsidRPr="00721567" w:rsidRDefault="000C5E85" w:rsidP="00651D87">
      <w:pPr>
        <w:widowControl/>
        <w:spacing w:line="360" w:lineRule="auto"/>
        <w:rPr>
          <w:sz w:val="20"/>
        </w:rPr>
      </w:pPr>
    </w:p>
    <w:p w:rsidR="00CA5AD6" w:rsidRDefault="00CA5AD6" w:rsidP="00651D87">
      <w:pPr>
        <w:widowControl/>
        <w:spacing w:line="360" w:lineRule="auto"/>
        <w:rPr>
          <w:sz w:val="20"/>
        </w:rPr>
      </w:pPr>
      <w:r w:rsidRPr="00721567">
        <w:rPr>
          <w:sz w:val="20"/>
        </w:rPr>
        <w:t>All notaries who perform remote online notarizations must be eNotaries and will have to register as RENPs.</w:t>
      </w:r>
      <w:r w:rsidRPr="00721567">
        <w:rPr>
          <w:rStyle w:val="FootnoteReference"/>
          <w:sz w:val="20"/>
          <w:vertAlign w:val="superscript"/>
        </w:rPr>
        <w:footnoteReference w:id="1"/>
      </w:r>
      <w:r w:rsidRPr="00721567">
        <w:rPr>
          <w:sz w:val="20"/>
        </w:rPr>
        <w:t xml:space="preserve">  When an RENP performs a REN, the remote electronic notarial act will be recorded electronically.  The RENP will also have to make note of the REN in an electronic journal</w:t>
      </w:r>
      <w:r w:rsidR="00E877EF" w:rsidRPr="00721567">
        <w:rPr>
          <w:sz w:val="20"/>
        </w:rPr>
        <w:t xml:space="preserve">.  </w:t>
      </w:r>
      <w:r w:rsidRPr="00721567">
        <w:rPr>
          <w:sz w:val="20"/>
        </w:rPr>
        <w:t>Whether a document must be notarized remains subject to other law, rules, or parties to a transaction.</w:t>
      </w:r>
    </w:p>
    <w:p w:rsidR="00244D02" w:rsidRPr="00721567" w:rsidRDefault="00244D02"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Robust rulemaking is required to clarify the overall process and protect notaries, principals, and the public against fraud.  Additionally, the Agency will be required to license the platforms and approve the credential analysis and identity proofing technologies that the RENP u</w:t>
      </w:r>
      <w:r w:rsidR="00244D02">
        <w:rPr>
          <w:sz w:val="20"/>
        </w:rPr>
        <w:t>ses in connection with a REN</w:t>
      </w:r>
      <w:r w:rsidRPr="00721567">
        <w:rPr>
          <w:sz w:val="20"/>
        </w:rPr>
        <w:t>.  The RENP and the technology vend</w:t>
      </w:r>
      <w:r w:rsidR="002851BD" w:rsidRPr="00721567">
        <w:rPr>
          <w:sz w:val="20"/>
        </w:rPr>
        <w:t>o</w:t>
      </w:r>
      <w:r w:rsidRPr="00721567">
        <w:rPr>
          <w:sz w:val="20"/>
        </w:rPr>
        <w:t>rs will have to preserve the confidentiality and security of the REN.  The Agency must</w:t>
      </w:r>
      <w:r w:rsidRPr="00721567" w:rsidDel="00B72114">
        <w:rPr>
          <w:sz w:val="20"/>
        </w:rPr>
        <w:t xml:space="preserve"> </w:t>
      </w:r>
      <w:r w:rsidRPr="00721567">
        <w:rPr>
          <w:sz w:val="20"/>
        </w:rPr>
        <w:t>also adopt technical rules establishing standards for the licensure and approval of competent vendors capable of meeting the specifications outlined in RENA and the corresponding rules.</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b/>
          <w:sz w:val="20"/>
        </w:rPr>
        <w:t>ABOUT THE RULEMAKING PROCESS:</w:t>
      </w:r>
      <w:r w:rsidRPr="00721567">
        <w:rPr>
          <w:sz w:val="20"/>
        </w:rPr>
        <w:t xml:space="preserve">  The Agency is not required to request public comment at this stage of the rulemaking process.  The formal rulemaking process begins when the Agency publishes proposed rules in the North Carolina Register.</w:t>
      </w:r>
      <w:r w:rsidRPr="00721567">
        <w:rPr>
          <w:rStyle w:val="FootnoteReference"/>
          <w:sz w:val="20"/>
          <w:vertAlign w:val="superscript"/>
        </w:rPr>
        <w:footnoteReference w:id="2"/>
      </w:r>
      <w:r w:rsidRPr="00721567">
        <w:rPr>
          <w:sz w:val="20"/>
        </w:rPr>
        <w:t xml:space="preserve">  The public will have the opportunity to comment upon the proposed rules once published.  North Carolina law requires that the public have at least 60 days to comment upon proposed rules.  During the </w:t>
      </w:r>
      <w:r w:rsidRPr="00721567">
        <w:rPr>
          <w:sz w:val="20"/>
        </w:rPr>
        <w:lastRenderedPageBreak/>
        <w:t>public comment period, the Agency anticipates it will also hold at least one public hearing to receive comments.  After the public comment period closes, the Agency will review the comments received and as a result may make changes to the rules</w:t>
      </w:r>
      <w:r w:rsidR="00E877EF" w:rsidRPr="00721567">
        <w:rPr>
          <w:sz w:val="20"/>
        </w:rPr>
        <w:t xml:space="preserve">.  </w:t>
      </w:r>
      <w:r w:rsidRPr="00721567">
        <w:rPr>
          <w:sz w:val="20"/>
        </w:rPr>
        <w:t>The Agency</w:t>
      </w:r>
      <w:r w:rsidRPr="00721567" w:rsidDel="00BA185C">
        <w:rPr>
          <w:sz w:val="20"/>
        </w:rPr>
        <w:t xml:space="preserve"> </w:t>
      </w:r>
      <w:r w:rsidRPr="00721567">
        <w:rPr>
          <w:sz w:val="20"/>
        </w:rPr>
        <w:t>then formally adopts the rules, which subsequently must be submitted to the Rules Review Commission (RRC).  RRC is a legislatively appointed commission, and may request changes to the language of the rules.  RRC may also object to any of the rules on the grounds that they are:  ambiguous, outside statutory authority, not reasonably necessary, or that proper procedures were not followed.  Depending on the comments or objections from RRC, the Agency may make changes to the rules and re-submit them to RRC</w:t>
      </w:r>
      <w:r w:rsidR="00E877EF" w:rsidRPr="00721567">
        <w:rPr>
          <w:sz w:val="20"/>
        </w:rPr>
        <w:t xml:space="preserve">.  </w:t>
      </w:r>
      <w:r w:rsidRPr="00721567">
        <w:rPr>
          <w:sz w:val="20"/>
        </w:rPr>
        <w:t>There are other steps in the rulemaking process not described here.</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 xml:space="preserve">If you are interested in receiving notices related to </w:t>
      </w:r>
      <w:r w:rsidR="007B58CC">
        <w:rPr>
          <w:sz w:val="20"/>
        </w:rPr>
        <w:t xml:space="preserve">the RENA </w:t>
      </w:r>
      <w:r w:rsidRPr="00721567">
        <w:rPr>
          <w:sz w:val="20"/>
        </w:rPr>
        <w:t xml:space="preserve">rulemaking </w:t>
      </w:r>
      <w:r w:rsidR="007B58CC">
        <w:rPr>
          <w:sz w:val="20"/>
        </w:rPr>
        <w:t xml:space="preserve">process </w:t>
      </w:r>
      <w:r w:rsidRPr="00721567">
        <w:rPr>
          <w:sz w:val="20"/>
        </w:rPr>
        <w:t xml:space="preserve">please subscribe to the Agency rulemaking interested persons list.  Instructions for subscribing may be found at </w:t>
      </w:r>
      <w:hyperlink r:id="rId9" w:history="1">
        <w:r w:rsidRPr="00721567">
          <w:rPr>
            <w:rStyle w:val="Hyperlink"/>
            <w:sz w:val="20"/>
          </w:rPr>
          <w:t>https://sosnc.gov/divisions/general_counsel/rulemaking_interested_person_mailing_list</w:t>
        </w:r>
      </w:hyperlink>
      <w:r w:rsidR="00056D09">
        <w:rPr>
          <w:sz w:val="20"/>
        </w:rPr>
        <w:t xml:space="preserve"> or by following the link at www.sosnc.gov/rulemaking</w:t>
      </w:r>
      <w:r w:rsidRPr="00721567">
        <w:rPr>
          <w:sz w:val="20"/>
        </w:rPr>
        <w:t>.</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b/>
          <w:sz w:val="20"/>
        </w:rPr>
        <w:t>HOW TO SUBMIT COMMENTS:</w:t>
      </w:r>
      <w:r w:rsidRPr="00721567">
        <w:rPr>
          <w:sz w:val="20"/>
        </w:rPr>
        <w:t xml:space="preserve">  In order to submit</w:t>
      </w:r>
      <w:r w:rsidRPr="00721567" w:rsidDel="00D86A0E">
        <w:rPr>
          <w:sz w:val="20"/>
        </w:rPr>
        <w:t xml:space="preserve"> </w:t>
      </w:r>
      <w:r w:rsidR="000C5E85" w:rsidRPr="00721567">
        <w:rPr>
          <w:sz w:val="20"/>
        </w:rPr>
        <w:t xml:space="preserve">comments, </w:t>
      </w:r>
      <w:r w:rsidRPr="00721567">
        <w:rPr>
          <w:sz w:val="20"/>
        </w:rPr>
        <w:t>you must:</w:t>
      </w:r>
    </w:p>
    <w:p w:rsidR="00CA5AD6" w:rsidRPr="00721567" w:rsidRDefault="008633B8" w:rsidP="00651D87">
      <w:pPr>
        <w:pStyle w:val="ListParagraph"/>
        <w:numPr>
          <w:ilvl w:val="0"/>
          <w:numId w:val="15"/>
        </w:numPr>
        <w:tabs>
          <w:tab w:val="left" w:pos="900"/>
        </w:tabs>
        <w:spacing w:line="360" w:lineRule="auto"/>
        <w:ind w:firstLine="0"/>
        <w:rPr>
          <w:rFonts w:cs="Times New Roman"/>
          <w:color w:val="auto"/>
          <w:sz w:val="20"/>
          <w:szCs w:val="20"/>
        </w:rPr>
      </w:pPr>
      <w:r>
        <w:rPr>
          <w:rFonts w:cs="Times New Roman"/>
          <w:color w:val="auto"/>
          <w:sz w:val="20"/>
          <w:szCs w:val="20"/>
        </w:rPr>
        <w:t xml:space="preserve">  </w:t>
      </w:r>
      <w:r w:rsidR="000774F4" w:rsidRPr="00721567">
        <w:rPr>
          <w:rFonts w:cs="Times New Roman"/>
          <w:color w:val="auto"/>
          <w:sz w:val="20"/>
          <w:szCs w:val="20"/>
        </w:rPr>
        <w:t xml:space="preserve">Put </w:t>
      </w:r>
      <w:r w:rsidR="00E47592">
        <w:rPr>
          <w:rFonts w:cs="Times New Roman"/>
          <w:color w:val="auto"/>
          <w:sz w:val="20"/>
          <w:szCs w:val="20"/>
        </w:rPr>
        <w:t>‘</w:t>
      </w:r>
      <w:r w:rsidR="000774F4" w:rsidRPr="00721567">
        <w:rPr>
          <w:rFonts w:cs="Times New Roman"/>
          <w:color w:val="auto"/>
          <w:sz w:val="20"/>
          <w:szCs w:val="20"/>
        </w:rPr>
        <w:t>RENA ANPR #1</w:t>
      </w:r>
      <w:r w:rsidR="00E47592">
        <w:rPr>
          <w:rFonts w:cs="Times New Roman"/>
          <w:color w:val="auto"/>
          <w:sz w:val="20"/>
          <w:szCs w:val="20"/>
        </w:rPr>
        <w:t>’</w:t>
      </w:r>
      <w:r w:rsidR="000774F4" w:rsidRPr="00721567">
        <w:rPr>
          <w:rFonts w:cs="Times New Roman"/>
          <w:color w:val="auto"/>
          <w:sz w:val="20"/>
          <w:szCs w:val="20"/>
        </w:rPr>
        <w:t xml:space="preserve"> i</w:t>
      </w:r>
      <w:r w:rsidR="00CA5AD6" w:rsidRPr="00721567">
        <w:rPr>
          <w:rFonts w:cs="Times New Roman"/>
          <w:color w:val="auto"/>
          <w:sz w:val="20"/>
          <w:szCs w:val="20"/>
        </w:rPr>
        <w:t>n the subject line of any submittal cover page,</w:t>
      </w:r>
    </w:p>
    <w:p w:rsidR="00CA5AD6" w:rsidRPr="00721567" w:rsidRDefault="008633B8" w:rsidP="00651D87">
      <w:pPr>
        <w:pStyle w:val="ListParagraph"/>
        <w:numPr>
          <w:ilvl w:val="0"/>
          <w:numId w:val="15"/>
        </w:numPr>
        <w:tabs>
          <w:tab w:val="left" w:pos="900"/>
        </w:tabs>
        <w:spacing w:line="360" w:lineRule="auto"/>
        <w:ind w:firstLine="0"/>
        <w:rPr>
          <w:rFonts w:cs="Times New Roman"/>
          <w:color w:val="auto"/>
          <w:sz w:val="20"/>
          <w:szCs w:val="20"/>
        </w:rPr>
      </w:pPr>
      <w:r>
        <w:rPr>
          <w:rFonts w:cs="Times New Roman"/>
          <w:color w:val="auto"/>
          <w:sz w:val="20"/>
          <w:szCs w:val="20"/>
        </w:rPr>
        <w:t xml:space="preserve">  </w:t>
      </w:r>
      <w:r w:rsidR="00CA5AD6" w:rsidRPr="00721567">
        <w:rPr>
          <w:rFonts w:cs="Times New Roman"/>
          <w:color w:val="auto"/>
          <w:sz w:val="20"/>
          <w:szCs w:val="20"/>
        </w:rPr>
        <w:t xml:space="preserve">Include your name and contact information, </w:t>
      </w:r>
    </w:p>
    <w:p w:rsidR="00CA5AD6" w:rsidRPr="00721567" w:rsidRDefault="008633B8" w:rsidP="00651D87">
      <w:pPr>
        <w:pStyle w:val="ListParagraph"/>
        <w:numPr>
          <w:ilvl w:val="0"/>
          <w:numId w:val="15"/>
        </w:numPr>
        <w:tabs>
          <w:tab w:val="left" w:pos="900"/>
        </w:tabs>
        <w:spacing w:line="360" w:lineRule="auto"/>
        <w:ind w:firstLine="0"/>
        <w:rPr>
          <w:rFonts w:cs="Times New Roman"/>
          <w:color w:val="auto"/>
          <w:sz w:val="20"/>
          <w:szCs w:val="20"/>
        </w:rPr>
      </w:pPr>
      <w:r>
        <w:rPr>
          <w:rFonts w:cs="Times New Roman"/>
          <w:color w:val="auto"/>
          <w:sz w:val="20"/>
          <w:szCs w:val="20"/>
        </w:rPr>
        <w:t xml:space="preserve">  </w:t>
      </w:r>
      <w:r w:rsidR="00CA5AD6" w:rsidRPr="00721567">
        <w:rPr>
          <w:rFonts w:cs="Times New Roman"/>
          <w:color w:val="auto"/>
          <w:sz w:val="20"/>
          <w:szCs w:val="20"/>
        </w:rPr>
        <w:t>If you are commenting on behalf of a business or organization, please indicate which one, and</w:t>
      </w:r>
    </w:p>
    <w:p w:rsidR="00CA5AD6" w:rsidRPr="00721567" w:rsidRDefault="008633B8" w:rsidP="00651D87">
      <w:pPr>
        <w:pStyle w:val="ListParagraph"/>
        <w:numPr>
          <w:ilvl w:val="0"/>
          <w:numId w:val="15"/>
        </w:numPr>
        <w:tabs>
          <w:tab w:val="left" w:pos="900"/>
        </w:tabs>
        <w:spacing w:line="360" w:lineRule="auto"/>
        <w:ind w:firstLine="0"/>
        <w:rPr>
          <w:rFonts w:cs="Times New Roman"/>
          <w:color w:val="auto"/>
          <w:sz w:val="20"/>
          <w:szCs w:val="20"/>
        </w:rPr>
      </w:pPr>
      <w:r>
        <w:rPr>
          <w:rFonts w:cs="Times New Roman"/>
          <w:color w:val="auto"/>
          <w:sz w:val="20"/>
          <w:szCs w:val="20"/>
        </w:rPr>
        <w:t xml:space="preserve">  </w:t>
      </w:r>
      <w:r w:rsidR="00CA5AD6" w:rsidRPr="00721567">
        <w:rPr>
          <w:rFonts w:cs="Times New Roman"/>
          <w:color w:val="auto"/>
          <w:sz w:val="20"/>
          <w:szCs w:val="20"/>
        </w:rPr>
        <w:t>Include the question number to which your comments respond.</w:t>
      </w:r>
    </w:p>
    <w:p w:rsidR="00CA5AD6" w:rsidRPr="00721567" w:rsidRDefault="00CA5AD6" w:rsidP="00651D87">
      <w:pPr>
        <w:widowControl/>
        <w:spacing w:line="360" w:lineRule="auto"/>
        <w:ind w:left="360"/>
        <w:rPr>
          <w:sz w:val="20"/>
        </w:rPr>
      </w:pPr>
    </w:p>
    <w:p w:rsidR="00CA5AD6" w:rsidRPr="00721567" w:rsidRDefault="00CA5AD6" w:rsidP="00651D87">
      <w:pPr>
        <w:widowControl/>
        <w:spacing w:line="360" w:lineRule="auto"/>
        <w:rPr>
          <w:i/>
          <w:sz w:val="20"/>
        </w:rPr>
      </w:pPr>
      <w:r w:rsidRPr="00721567">
        <w:rPr>
          <w:b/>
          <w:sz w:val="20"/>
        </w:rPr>
        <w:t>ADDRESS COMMENTS TO:</w:t>
      </w:r>
      <w:r w:rsidRPr="00721567">
        <w:rPr>
          <w:sz w:val="20"/>
        </w:rPr>
        <w:t xml:space="preserve">  Ann. B. Wall, General Counsel and Rulemaking Coordinator, N.C. Department of the Secretary of State.</w:t>
      </w:r>
      <w:r w:rsidR="001C74BF" w:rsidRPr="00721567">
        <w:rPr>
          <w:sz w:val="20"/>
        </w:rPr>
        <w:t xml:space="preserve">  </w:t>
      </w:r>
      <w:r w:rsidR="001C74BF" w:rsidRPr="00721567">
        <w:rPr>
          <w:i/>
          <w:sz w:val="20"/>
        </w:rPr>
        <w:t xml:space="preserve">Note that all comments </w:t>
      </w:r>
      <w:r w:rsidR="009024D4" w:rsidRPr="00721567">
        <w:rPr>
          <w:i/>
          <w:sz w:val="20"/>
        </w:rPr>
        <w:t xml:space="preserve">are </w:t>
      </w:r>
      <w:r w:rsidR="001C74BF" w:rsidRPr="00721567">
        <w:rPr>
          <w:i/>
          <w:sz w:val="20"/>
        </w:rPr>
        <w:t xml:space="preserve">subject to the </w:t>
      </w:r>
      <w:r w:rsidR="009024D4" w:rsidRPr="00721567">
        <w:rPr>
          <w:i/>
          <w:sz w:val="20"/>
        </w:rPr>
        <w:t>p</w:t>
      </w:r>
      <w:r w:rsidR="001C74BF" w:rsidRPr="00721567">
        <w:rPr>
          <w:i/>
          <w:sz w:val="20"/>
        </w:rPr>
        <w:t xml:space="preserve">ublic </w:t>
      </w:r>
      <w:r w:rsidR="009024D4" w:rsidRPr="00721567">
        <w:rPr>
          <w:i/>
          <w:sz w:val="20"/>
        </w:rPr>
        <w:t>r</w:t>
      </w:r>
      <w:r w:rsidR="001C74BF" w:rsidRPr="00721567">
        <w:rPr>
          <w:i/>
          <w:sz w:val="20"/>
        </w:rPr>
        <w:t xml:space="preserve">ecords provisions of </w:t>
      </w:r>
      <w:r w:rsidR="00BE2AC3">
        <w:rPr>
          <w:i/>
          <w:sz w:val="20"/>
        </w:rPr>
        <w:t xml:space="preserve">G.S. </w:t>
      </w:r>
      <w:r w:rsidR="001C74BF" w:rsidRPr="00721567">
        <w:rPr>
          <w:i/>
          <w:sz w:val="20"/>
        </w:rPr>
        <w:t>132-1</w:t>
      </w:r>
      <w:r w:rsidR="00244D02">
        <w:rPr>
          <w:i/>
          <w:sz w:val="20"/>
        </w:rPr>
        <w:t>,</w:t>
      </w:r>
      <w:r w:rsidR="001C74BF" w:rsidRPr="00721567">
        <w:rPr>
          <w:i/>
          <w:sz w:val="20"/>
        </w:rPr>
        <w:t xml:space="preserve"> et. seq.</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b/>
          <w:sz w:val="20"/>
        </w:rPr>
      </w:pPr>
      <w:r w:rsidRPr="00721567">
        <w:rPr>
          <w:b/>
          <w:sz w:val="20"/>
        </w:rPr>
        <w:t>SUBMIT COMMENTS BY:</w:t>
      </w:r>
    </w:p>
    <w:p w:rsidR="00CA5AD6" w:rsidRPr="00244D02" w:rsidRDefault="00CA5AD6" w:rsidP="00651D87">
      <w:pPr>
        <w:pStyle w:val="ListParagraph"/>
        <w:numPr>
          <w:ilvl w:val="0"/>
          <w:numId w:val="16"/>
        </w:numPr>
        <w:tabs>
          <w:tab w:val="left" w:pos="990"/>
        </w:tabs>
        <w:spacing w:line="360" w:lineRule="auto"/>
        <w:ind w:firstLine="0"/>
        <w:rPr>
          <w:rFonts w:cs="Times New Roman"/>
          <w:color w:val="auto"/>
          <w:sz w:val="20"/>
          <w:szCs w:val="20"/>
        </w:rPr>
      </w:pPr>
      <w:r w:rsidRPr="00721567">
        <w:rPr>
          <w:rFonts w:cs="Times New Roman"/>
          <w:color w:val="auto"/>
          <w:sz w:val="20"/>
          <w:szCs w:val="20"/>
        </w:rPr>
        <w:t>Emailing comments to</w:t>
      </w:r>
      <w:r w:rsidR="009024D4" w:rsidRPr="00721567">
        <w:rPr>
          <w:rFonts w:cs="Times New Roman"/>
          <w:color w:val="auto"/>
          <w:sz w:val="20"/>
          <w:szCs w:val="20"/>
        </w:rPr>
        <w:t xml:space="preserve"> </w:t>
      </w:r>
      <w:hyperlink r:id="rId10" w:history="1">
        <w:r w:rsidR="005B180C" w:rsidRPr="00B34A57">
          <w:rPr>
            <w:rStyle w:val="Hyperlink"/>
            <w:rFonts w:cs="Times New Roman"/>
            <w:sz w:val="20"/>
            <w:szCs w:val="20"/>
          </w:rPr>
          <w:t>ANPR@sosnc.gov</w:t>
        </w:r>
      </w:hyperlink>
      <w:r w:rsidR="00244D02" w:rsidRPr="00244D02">
        <w:rPr>
          <w:rStyle w:val="Hyperlink"/>
          <w:rFonts w:cs="Times New Roman"/>
          <w:color w:val="auto"/>
          <w:sz w:val="20"/>
          <w:szCs w:val="20"/>
          <w:u w:val="none"/>
        </w:rPr>
        <w:t>,</w:t>
      </w:r>
      <w:r w:rsidR="005B180C" w:rsidRPr="00244D02">
        <w:rPr>
          <w:rFonts w:cs="Times New Roman"/>
          <w:color w:val="auto"/>
          <w:sz w:val="20"/>
          <w:szCs w:val="20"/>
        </w:rPr>
        <w:t xml:space="preserve"> </w:t>
      </w:r>
      <w:r w:rsidRPr="00244D02">
        <w:rPr>
          <w:rFonts w:cs="Times New Roman"/>
          <w:color w:val="auto"/>
          <w:sz w:val="20"/>
          <w:szCs w:val="20"/>
        </w:rPr>
        <w:t xml:space="preserve"> </w:t>
      </w:r>
    </w:p>
    <w:p w:rsidR="00CA5AD6" w:rsidRPr="00721567" w:rsidRDefault="00CA5AD6" w:rsidP="00651D87">
      <w:pPr>
        <w:pStyle w:val="ListParagraph"/>
        <w:numPr>
          <w:ilvl w:val="0"/>
          <w:numId w:val="16"/>
        </w:numPr>
        <w:tabs>
          <w:tab w:val="left" w:pos="990"/>
        </w:tabs>
        <w:spacing w:line="360" w:lineRule="auto"/>
        <w:ind w:firstLine="0"/>
        <w:rPr>
          <w:rFonts w:cs="Times New Roman"/>
          <w:color w:val="auto"/>
          <w:sz w:val="20"/>
          <w:szCs w:val="20"/>
        </w:rPr>
      </w:pPr>
      <w:r w:rsidRPr="00721567">
        <w:rPr>
          <w:rFonts w:cs="Times New Roman"/>
          <w:color w:val="auto"/>
          <w:sz w:val="20"/>
          <w:szCs w:val="20"/>
        </w:rPr>
        <w:t>USPS to:  P.O. Bo</w:t>
      </w:r>
      <w:r w:rsidR="00244D02">
        <w:rPr>
          <w:rFonts w:cs="Times New Roman"/>
          <w:color w:val="auto"/>
          <w:sz w:val="20"/>
          <w:szCs w:val="20"/>
        </w:rPr>
        <w:t>x 29622, Raleigh, NC 27626-0622, or</w:t>
      </w:r>
    </w:p>
    <w:p w:rsidR="00CA5AD6" w:rsidRPr="00721567" w:rsidRDefault="00A6470D" w:rsidP="00651D87">
      <w:pPr>
        <w:pStyle w:val="ListParagraph"/>
        <w:numPr>
          <w:ilvl w:val="0"/>
          <w:numId w:val="16"/>
        </w:numPr>
        <w:tabs>
          <w:tab w:val="left" w:pos="990"/>
        </w:tabs>
        <w:spacing w:line="360" w:lineRule="auto"/>
        <w:ind w:firstLine="0"/>
        <w:rPr>
          <w:rFonts w:cs="Times New Roman"/>
          <w:color w:val="auto"/>
          <w:sz w:val="20"/>
          <w:szCs w:val="20"/>
        </w:rPr>
      </w:pPr>
      <w:r>
        <w:rPr>
          <w:rFonts w:cs="Times New Roman"/>
          <w:color w:val="auto"/>
          <w:sz w:val="20"/>
          <w:szCs w:val="20"/>
        </w:rPr>
        <w:t>C</w:t>
      </w:r>
      <w:r w:rsidR="00CA5AD6" w:rsidRPr="00721567">
        <w:rPr>
          <w:rFonts w:cs="Times New Roman"/>
          <w:color w:val="auto"/>
          <w:sz w:val="20"/>
          <w:szCs w:val="20"/>
        </w:rPr>
        <w:t>ourier service (ex. UPS, Fed Ex) to:  2 South Salisbury Street, Raleigh, NC 27601</w:t>
      </w:r>
      <w:r w:rsidR="00244D02">
        <w:rPr>
          <w:rFonts w:cs="Times New Roman"/>
          <w:color w:val="auto"/>
          <w:sz w:val="20"/>
          <w:szCs w:val="20"/>
        </w:rPr>
        <w:t>.</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i/>
          <w:sz w:val="20"/>
        </w:rPr>
      </w:pPr>
      <w:r w:rsidRPr="00892AC8">
        <w:rPr>
          <w:b/>
          <w:sz w:val="20"/>
        </w:rPr>
        <w:t>FOR FURTHER INFORMATION:</w:t>
      </w:r>
      <w:r w:rsidRPr="00721567">
        <w:rPr>
          <w:sz w:val="20"/>
        </w:rPr>
        <w:t xml:space="preserve">  </w:t>
      </w:r>
      <w:r w:rsidR="00375012">
        <w:rPr>
          <w:sz w:val="20"/>
        </w:rPr>
        <w:t xml:space="preserve">Email the Agency at </w:t>
      </w:r>
      <w:hyperlink r:id="rId11" w:history="1">
        <w:r w:rsidR="00721567" w:rsidRPr="00B34A57">
          <w:rPr>
            <w:rStyle w:val="Hyperlink"/>
            <w:sz w:val="20"/>
          </w:rPr>
          <w:t>ANPR@sosnc.gov</w:t>
        </w:r>
      </w:hyperlink>
      <w:r w:rsidR="00721567">
        <w:rPr>
          <w:sz w:val="20"/>
        </w:rPr>
        <w:t xml:space="preserve"> </w:t>
      </w:r>
      <w:r w:rsidR="00375012">
        <w:rPr>
          <w:sz w:val="20"/>
        </w:rPr>
        <w:t xml:space="preserve">or visit </w:t>
      </w:r>
      <w:r w:rsidR="00056D09">
        <w:rPr>
          <w:sz w:val="20"/>
        </w:rPr>
        <w:t>www.sosnc.gov/rulemaking</w:t>
      </w:r>
      <w:r w:rsidR="008A5CAD">
        <w:rPr>
          <w:sz w:val="20"/>
        </w:rPr>
        <w:t>.</w:t>
      </w:r>
    </w:p>
    <w:p w:rsidR="00CA5AD6" w:rsidRPr="00721567" w:rsidRDefault="00CA5AD6" w:rsidP="00651D87">
      <w:pPr>
        <w:widowControl/>
        <w:spacing w:line="360" w:lineRule="auto"/>
        <w:rPr>
          <w:sz w:val="20"/>
        </w:rPr>
      </w:pPr>
    </w:p>
    <w:sdt>
      <w:sdtPr>
        <w:rPr>
          <w:rFonts w:eastAsiaTheme="minorHAnsi"/>
          <w:b/>
          <w:noProof/>
          <w:snapToGrid/>
          <w:sz w:val="20"/>
          <w:szCs w:val="24"/>
        </w:rPr>
        <w:id w:val="-687219243"/>
        <w:docPartObj>
          <w:docPartGallery w:val="Table of Contents"/>
          <w:docPartUnique/>
        </w:docPartObj>
      </w:sdtPr>
      <w:sdtEndPr>
        <w:rPr>
          <w:szCs w:val="20"/>
        </w:rPr>
      </w:sdtEndPr>
      <w:sdtContent>
        <w:p w:rsidR="00CA5AD6" w:rsidRPr="004E0CF7" w:rsidRDefault="00244D02" w:rsidP="00651D87">
          <w:pPr>
            <w:widowControl/>
            <w:spacing w:line="360" w:lineRule="auto"/>
            <w:rPr>
              <w:sz w:val="20"/>
            </w:rPr>
          </w:pPr>
          <w:r w:rsidRPr="004E0CF7">
            <w:rPr>
              <w:b/>
              <w:caps/>
              <w:sz w:val="20"/>
            </w:rPr>
            <w:t>Topics On Which The Agency Seeks Comment</w:t>
          </w:r>
          <w:r w:rsidR="00892AC8" w:rsidRPr="004E0CF7">
            <w:rPr>
              <w:b/>
              <w:sz w:val="20"/>
            </w:rPr>
            <w:t>:</w:t>
          </w:r>
        </w:p>
        <w:p w:rsidR="003A6DE1" w:rsidRDefault="00CA5AD6">
          <w:pPr>
            <w:pStyle w:val="TOC1"/>
            <w:rPr>
              <w:rFonts w:asciiTheme="minorHAnsi" w:eastAsiaTheme="minorEastAsia" w:hAnsiTheme="minorHAnsi" w:cstheme="minorBidi"/>
              <w:b w:val="0"/>
              <w:sz w:val="22"/>
              <w:szCs w:val="22"/>
            </w:rPr>
          </w:pPr>
          <w:r w:rsidRPr="004E0CF7">
            <w:fldChar w:fldCharType="begin"/>
          </w:r>
          <w:r w:rsidRPr="004E0CF7">
            <w:instrText xml:space="preserve"> TOC \o "1-3" \h \z \u </w:instrText>
          </w:r>
          <w:r w:rsidRPr="004E0CF7">
            <w:fldChar w:fldCharType="separate"/>
          </w:r>
          <w:hyperlink w:anchor="_Toc117090614" w:history="1">
            <w:r w:rsidR="003A6DE1" w:rsidRPr="00933005">
              <w:rPr>
                <w:rStyle w:val="Hyperlink"/>
              </w:rPr>
              <w:t xml:space="preserve">A. </w:t>
            </w:r>
            <w:r w:rsidR="003A6DE1">
              <w:rPr>
                <w:rFonts w:asciiTheme="minorHAnsi" w:eastAsiaTheme="minorEastAsia" w:hAnsiTheme="minorHAnsi" w:cstheme="minorBidi"/>
                <w:b w:val="0"/>
                <w:sz w:val="22"/>
                <w:szCs w:val="22"/>
              </w:rPr>
              <w:tab/>
            </w:r>
            <w:r w:rsidR="003A6DE1" w:rsidRPr="00933005">
              <w:rPr>
                <w:rStyle w:val="Hyperlink"/>
                <w:caps/>
              </w:rPr>
              <w:t xml:space="preserve">Establishing the Relationship Between Remote Electronic Notaries Public (RENPS) and </w:t>
            </w:r>
            <w:r w:rsidR="003A6DE1" w:rsidRPr="00933005">
              <w:rPr>
                <w:rStyle w:val="Hyperlink"/>
              </w:rPr>
              <w:t>e</w:t>
            </w:r>
            <w:r w:rsidR="003A6DE1" w:rsidRPr="00933005">
              <w:rPr>
                <w:rStyle w:val="Hyperlink"/>
                <w:caps/>
              </w:rPr>
              <w:t>Notaries</w:t>
            </w:r>
            <w:r w:rsidR="003A6DE1">
              <w:rPr>
                <w:webHidden/>
              </w:rPr>
              <w:tab/>
            </w:r>
            <w:r w:rsidR="003A6DE1">
              <w:rPr>
                <w:webHidden/>
              </w:rPr>
              <w:fldChar w:fldCharType="begin"/>
            </w:r>
            <w:r w:rsidR="003A6DE1">
              <w:rPr>
                <w:webHidden/>
              </w:rPr>
              <w:instrText xml:space="preserve"> PAGEREF _Toc117090614 \h </w:instrText>
            </w:r>
            <w:r w:rsidR="003A6DE1">
              <w:rPr>
                <w:webHidden/>
              </w:rPr>
            </w:r>
            <w:r w:rsidR="003A6DE1">
              <w:rPr>
                <w:webHidden/>
              </w:rPr>
              <w:fldChar w:fldCharType="separate"/>
            </w:r>
            <w:r w:rsidR="003A6DE1">
              <w:rPr>
                <w:webHidden/>
              </w:rPr>
              <w:t>4</w:t>
            </w:r>
            <w:r w:rsidR="003A6DE1">
              <w:rPr>
                <w:webHidden/>
              </w:rPr>
              <w:fldChar w:fldCharType="end"/>
            </w:r>
          </w:hyperlink>
        </w:p>
        <w:p w:rsidR="003A6DE1" w:rsidRDefault="00E51030">
          <w:pPr>
            <w:pStyle w:val="TOC1"/>
            <w:rPr>
              <w:rFonts w:asciiTheme="minorHAnsi" w:eastAsiaTheme="minorEastAsia" w:hAnsiTheme="minorHAnsi" w:cstheme="minorBidi"/>
              <w:b w:val="0"/>
              <w:sz w:val="22"/>
              <w:szCs w:val="22"/>
            </w:rPr>
          </w:pPr>
          <w:hyperlink w:anchor="_Toc117090615" w:history="1">
            <w:r w:rsidR="003A6DE1" w:rsidRPr="00933005">
              <w:rPr>
                <w:rStyle w:val="Hyperlink"/>
              </w:rPr>
              <w:t xml:space="preserve">B.  </w:t>
            </w:r>
            <w:r w:rsidR="003A6DE1">
              <w:rPr>
                <w:rFonts w:asciiTheme="minorHAnsi" w:eastAsiaTheme="minorEastAsia" w:hAnsiTheme="minorHAnsi" w:cstheme="minorBidi"/>
                <w:b w:val="0"/>
                <w:sz w:val="22"/>
                <w:szCs w:val="22"/>
              </w:rPr>
              <w:tab/>
            </w:r>
            <w:r w:rsidR="003A6DE1" w:rsidRPr="00933005">
              <w:rPr>
                <w:rStyle w:val="Hyperlink"/>
                <w:caps/>
              </w:rPr>
              <w:t>Conducting REN for Principals Located in U.S. Territories</w:t>
            </w:r>
            <w:r w:rsidR="003A6DE1">
              <w:rPr>
                <w:webHidden/>
              </w:rPr>
              <w:tab/>
            </w:r>
            <w:r w:rsidR="003A6DE1">
              <w:rPr>
                <w:webHidden/>
              </w:rPr>
              <w:fldChar w:fldCharType="begin"/>
            </w:r>
            <w:r w:rsidR="003A6DE1">
              <w:rPr>
                <w:webHidden/>
              </w:rPr>
              <w:instrText xml:space="preserve"> PAGEREF _Toc117090615 \h </w:instrText>
            </w:r>
            <w:r w:rsidR="003A6DE1">
              <w:rPr>
                <w:webHidden/>
              </w:rPr>
            </w:r>
            <w:r w:rsidR="003A6DE1">
              <w:rPr>
                <w:webHidden/>
              </w:rPr>
              <w:fldChar w:fldCharType="separate"/>
            </w:r>
            <w:r w:rsidR="003A6DE1">
              <w:rPr>
                <w:webHidden/>
              </w:rPr>
              <w:t>5</w:t>
            </w:r>
            <w:r w:rsidR="003A6DE1">
              <w:rPr>
                <w:webHidden/>
              </w:rPr>
              <w:fldChar w:fldCharType="end"/>
            </w:r>
          </w:hyperlink>
        </w:p>
        <w:p w:rsidR="003A6DE1" w:rsidRDefault="00E51030">
          <w:pPr>
            <w:pStyle w:val="TOC1"/>
            <w:rPr>
              <w:rFonts w:asciiTheme="minorHAnsi" w:eastAsiaTheme="minorEastAsia" w:hAnsiTheme="minorHAnsi" w:cstheme="minorBidi"/>
              <w:b w:val="0"/>
              <w:sz w:val="22"/>
              <w:szCs w:val="22"/>
            </w:rPr>
          </w:pPr>
          <w:hyperlink w:anchor="_Toc117090616" w:history="1">
            <w:r w:rsidR="003A6DE1" w:rsidRPr="00933005">
              <w:rPr>
                <w:rStyle w:val="Hyperlink"/>
              </w:rPr>
              <w:t xml:space="preserve">C.  </w:t>
            </w:r>
            <w:r w:rsidR="003A6DE1">
              <w:rPr>
                <w:rFonts w:asciiTheme="minorHAnsi" w:eastAsiaTheme="minorEastAsia" w:hAnsiTheme="minorHAnsi" w:cstheme="minorBidi"/>
                <w:b w:val="0"/>
                <w:sz w:val="22"/>
                <w:szCs w:val="22"/>
              </w:rPr>
              <w:tab/>
            </w:r>
            <w:r w:rsidR="003A6DE1" w:rsidRPr="00933005">
              <w:rPr>
                <w:rStyle w:val="Hyperlink"/>
                <w:caps/>
              </w:rPr>
              <w:t>Use of Credible Witness to Establish Identity of Remotely Located Principals</w:t>
            </w:r>
            <w:r w:rsidR="003A6DE1">
              <w:rPr>
                <w:webHidden/>
              </w:rPr>
              <w:tab/>
            </w:r>
            <w:r w:rsidR="003A6DE1">
              <w:rPr>
                <w:webHidden/>
              </w:rPr>
              <w:tab/>
            </w:r>
            <w:r w:rsidR="003A6DE1">
              <w:rPr>
                <w:webHidden/>
              </w:rPr>
              <w:fldChar w:fldCharType="begin"/>
            </w:r>
            <w:r w:rsidR="003A6DE1">
              <w:rPr>
                <w:webHidden/>
              </w:rPr>
              <w:instrText xml:space="preserve"> PAGEREF _Toc117090616 \h </w:instrText>
            </w:r>
            <w:r w:rsidR="003A6DE1">
              <w:rPr>
                <w:webHidden/>
              </w:rPr>
            </w:r>
            <w:r w:rsidR="003A6DE1">
              <w:rPr>
                <w:webHidden/>
              </w:rPr>
              <w:fldChar w:fldCharType="separate"/>
            </w:r>
            <w:r w:rsidR="003A6DE1">
              <w:rPr>
                <w:webHidden/>
              </w:rPr>
              <w:t>6</w:t>
            </w:r>
            <w:r w:rsidR="003A6DE1">
              <w:rPr>
                <w:webHidden/>
              </w:rPr>
              <w:fldChar w:fldCharType="end"/>
            </w:r>
          </w:hyperlink>
        </w:p>
        <w:p w:rsidR="003A6DE1" w:rsidRDefault="00E51030">
          <w:pPr>
            <w:pStyle w:val="TOC1"/>
            <w:rPr>
              <w:rFonts w:asciiTheme="minorHAnsi" w:eastAsiaTheme="minorEastAsia" w:hAnsiTheme="minorHAnsi" w:cstheme="minorBidi"/>
              <w:b w:val="0"/>
              <w:sz w:val="22"/>
              <w:szCs w:val="22"/>
            </w:rPr>
          </w:pPr>
          <w:hyperlink w:anchor="_Toc117090617" w:history="1">
            <w:r w:rsidR="003A6DE1" w:rsidRPr="00933005">
              <w:rPr>
                <w:rStyle w:val="Hyperlink"/>
              </w:rPr>
              <w:t xml:space="preserve">D.  </w:t>
            </w:r>
            <w:r w:rsidR="003A6DE1">
              <w:rPr>
                <w:rFonts w:asciiTheme="minorHAnsi" w:eastAsiaTheme="minorEastAsia" w:hAnsiTheme="minorHAnsi" w:cstheme="minorBidi"/>
                <w:b w:val="0"/>
                <w:sz w:val="22"/>
                <w:szCs w:val="22"/>
              </w:rPr>
              <w:tab/>
            </w:r>
            <w:r w:rsidR="003A6DE1" w:rsidRPr="00933005">
              <w:rPr>
                <w:rStyle w:val="Hyperlink"/>
                <w:caps/>
              </w:rPr>
              <w:t>Maintaining Control when Employed by Others — Platform, Electronic Journal and CT Recording</w:t>
            </w:r>
            <w:r w:rsidR="003A6DE1">
              <w:rPr>
                <w:webHidden/>
              </w:rPr>
              <w:tab/>
            </w:r>
            <w:r w:rsidR="003A6DE1">
              <w:rPr>
                <w:webHidden/>
              </w:rPr>
              <w:fldChar w:fldCharType="begin"/>
            </w:r>
            <w:r w:rsidR="003A6DE1">
              <w:rPr>
                <w:webHidden/>
              </w:rPr>
              <w:instrText xml:space="preserve"> PAGEREF _Toc117090617 \h </w:instrText>
            </w:r>
            <w:r w:rsidR="003A6DE1">
              <w:rPr>
                <w:webHidden/>
              </w:rPr>
            </w:r>
            <w:r w:rsidR="003A6DE1">
              <w:rPr>
                <w:webHidden/>
              </w:rPr>
              <w:fldChar w:fldCharType="separate"/>
            </w:r>
            <w:r w:rsidR="003A6DE1">
              <w:rPr>
                <w:webHidden/>
              </w:rPr>
              <w:t>6</w:t>
            </w:r>
            <w:r w:rsidR="003A6DE1">
              <w:rPr>
                <w:webHidden/>
              </w:rPr>
              <w:fldChar w:fldCharType="end"/>
            </w:r>
          </w:hyperlink>
        </w:p>
        <w:p w:rsidR="003A6DE1" w:rsidRDefault="00E51030">
          <w:pPr>
            <w:pStyle w:val="TOC1"/>
            <w:rPr>
              <w:rFonts w:asciiTheme="minorHAnsi" w:eastAsiaTheme="minorEastAsia" w:hAnsiTheme="minorHAnsi" w:cstheme="minorBidi"/>
              <w:b w:val="0"/>
              <w:sz w:val="22"/>
              <w:szCs w:val="22"/>
            </w:rPr>
          </w:pPr>
          <w:hyperlink w:anchor="_Toc117090618" w:history="1">
            <w:r w:rsidR="003A6DE1" w:rsidRPr="00933005">
              <w:rPr>
                <w:rStyle w:val="Hyperlink"/>
              </w:rPr>
              <w:t xml:space="preserve">E.  </w:t>
            </w:r>
            <w:r w:rsidR="003A6DE1">
              <w:rPr>
                <w:rFonts w:asciiTheme="minorHAnsi" w:eastAsiaTheme="minorEastAsia" w:hAnsiTheme="minorHAnsi" w:cstheme="minorBidi"/>
                <w:b w:val="0"/>
                <w:sz w:val="22"/>
                <w:szCs w:val="22"/>
              </w:rPr>
              <w:tab/>
            </w:r>
            <w:r w:rsidR="003A6DE1" w:rsidRPr="00933005">
              <w:rPr>
                <w:rStyle w:val="Hyperlink"/>
                <w:caps/>
              </w:rPr>
              <w:t>Assuring the Security and Confidentiality of the REN Act</w:t>
            </w:r>
            <w:r w:rsidR="003A6DE1">
              <w:rPr>
                <w:webHidden/>
              </w:rPr>
              <w:tab/>
            </w:r>
            <w:r w:rsidR="003A6DE1">
              <w:rPr>
                <w:webHidden/>
              </w:rPr>
              <w:fldChar w:fldCharType="begin"/>
            </w:r>
            <w:r w:rsidR="003A6DE1">
              <w:rPr>
                <w:webHidden/>
              </w:rPr>
              <w:instrText xml:space="preserve"> PAGEREF _Toc117090618 \h </w:instrText>
            </w:r>
            <w:r w:rsidR="003A6DE1">
              <w:rPr>
                <w:webHidden/>
              </w:rPr>
            </w:r>
            <w:r w:rsidR="003A6DE1">
              <w:rPr>
                <w:webHidden/>
              </w:rPr>
              <w:fldChar w:fldCharType="separate"/>
            </w:r>
            <w:r w:rsidR="003A6DE1">
              <w:rPr>
                <w:webHidden/>
              </w:rPr>
              <w:t>11</w:t>
            </w:r>
            <w:r w:rsidR="003A6DE1">
              <w:rPr>
                <w:webHidden/>
              </w:rPr>
              <w:fldChar w:fldCharType="end"/>
            </w:r>
          </w:hyperlink>
        </w:p>
        <w:p w:rsidR="003A6DE1" w:rsidRDefault="00E51030">
          <w:pPr>
            <w:pStyle w:val="TOC1"/>
            <w:rPr>
              <w:rFonts w:asciiTheme="minorHAnsi" w:eastAsiaTheme="minorEastAsia" w:hAnsiTheme="minorHAnsi" w:cstheme="minorBidi"/>
              <w:b w:val="0"/>
              <w:sz w:val="22"/>
              <w:szCs w:val="22"/>
            </w:rPr>
          </w:pPr>
          <w:hyperlink w:anchor="_Toc117090619" w:history="1">
            <w:r w:rsidR="003A6DE1" w:rsidRPr="00933005">
              <w:rPr>
                <w:rStyle w:val="Hyperlink"/>
              </w:rPr>
              <w:t xml:space="preserve">F.  </w:t>
            </w:r>
            <w:r w:rsidR="003A6DE1">
              <w:rPr>
                <w:rFonts w:asciiTheme="minorHAnsi" w:eastAsiaTheme="minorEastAsia" w:hAnsiTheme="minorHAnsi" w:cstheme="minorBidi"/>
                <w:b w:val="0"/>
                <w:sz w:val="22"/>
                <w:szCs w:val="22"/>
              </w:rPr>
              <w:tab/>
            </w:r>
            <w:r w:rsidR="003A6DE1" w:rsidRPr="00933005">
              <w:rPr>
                <w:rStyle w:val="Hyperlink"/>
                <w:caps/>
              </w:rPr>
              <w:t>Acts Subject To CT Recording</w:t>
            </w:r>
            <w:r w:rsidR="003A6DE1">
              <w:rPr>
                <w:webHidden/>
              </w:rPr>
              <w:tab/>
            </w:r>
            <w:r w:rsidR="003A6DE1">
              <w:rPr>
                <w:webHidden/>
              </w:rPr>
              <w:fldChar w:fldCharType="begin"/>
            </w:r>
            <w:r w:rsidR="003A6DE1">
              <w:rPr>
                <w:webHidden/>
              </w:rPr>
              <w:instrText xml:space="preserve"> PAGEREF _Toc117090619 \h </w:instrText>
            </w:r>
            <w:r w:rsidR="003A6DE1">
              <w:rPr>
                <w:webHidden/>
              </w:rPr>
            </w:r>
            <w:r w:rsidR="003A6DE1">
              <w:rPr>
                <w:webHidden/>
              </w:rPr>
              <w:fldChar w:fldCharType="separate"/>
            </w:r>
            <w:r w:rsidR="003A6DE1">
              <w:rPr>
                <w:webHidden/>
              </w:rPr>
              <w:t>15</w:t>
            </w:r>
            <w:r w:rsidR="003A6DE1">
              <w:rPr>
                <w:webHidden/>
              </w:rPr>
              <w:fldChar w:fldCharType="end"/>
            </w:r>
          </w:hyperlink>
        </w:p>
        <w:p w:rsidR="003A6DE1" w:rsidRDefault="00E51030">
          <w:pPr>
            <w:pStyle w:val="TOC1"/>
            <w:rPr>
              <w:rFonts w:asciiTheme="minorHAnsi" w:eastAsiaTheme="minorEastAsia" w:hAnsiTheme="minorHAnsi" w:cstheme="minorBidi"/>
              <w:b w:val="0"/>
              <w:sz w:val="22"/>
              <w:szCs w:val="22"/>
            </w:rPr>
          </w:pPr>
          <w:hyperlink w:anchor="_Toc117090620" w:history="1">
            <w:r w:rsidR="003A6DE1" w:rsidRPr="00933005">
              <w:rPr>
                <w:rStyle w:val="Hyperlink"/>
              </w:rPr>
              <w:t xml:space="preserve">G.  </w:t>
            </w:r>
            <w:r w:rsidR="003A6DE1">
              <w:rPr>
                <w:rFonts w:asciiTheme="minorHAnsi" w:eastAsiaTheme="minorEastAsia" w:hAnsiTheme="minorHAnsi" w:cstheme="minorBidi"/>
                <w:b w:val="0"/>
                <w:sz w:val="22"/>
                <w:szCs w:val="22"/>
              </w:rPr>
              <w:tab/>
            </w:r>
            <w:r w:rsidR="003A6DE1" w:rsidRPr="00933005">
              <w:rPr>
                <w:rStyle w:val="Hyperlink"/>
                <w:caps/>
              </w:rPr>
              <w:t>Contents of the CT Recording</w:t>
            </w:r>
            <w:r w:rsidR="003A6DE1">
              <w:rPr>
                <w:webHidden/>
              </w:rPr>
              <w:tab/>
            </w:r>
            <w:r w:rsidR="003A6DE1">
              <w:rPr>
                <w:webHidden/>
              </w:rPr>
              <w:fldChar w:fldCharType="begin"/>
            </w:r>
            <w:r w:rsidR="003A6DE1">
              <w:rPr>
                <w:webHidden/>
              </w:rPr>
              <w:instrText xml:space="preserve"> PAGEREF _Toc117090620 \h </w:instrText>
            </w:r>
            <w:r w:rsidR="003A6DE1">
              <w:rPr>
                <w:webHidden/>
              </w:rPr>
            </w:r>
            <w:r w:rsidR="003A6DE1">
              <w:rPr>
                <w:webHidden/>
              </w:rPr>
              <w:fldChar w:fldCharType="separate"/>
            </w:r>
            <w:r w:rsidR="003A6DE1">
              <w:rPr>
                <w:webHidden/>
              </w:rPr>
              <w:t>18</w:t>
            </w:r>
            <w:r w:rsidR="003A6DE1">
              <w:rPr>
                <w:webHidden/>
              </w:rPr>
              <w:fldChar w:fldCharType="end"/>
            </w:r>
          </w:hyperlink>
        </w:p>
        <w:p w:rsidR="003A6DE1" w:rsidRDefault="00E51030">
          <w:pPr>
            <w:pStyle w:val="TOC1"/>
            <w:rPr>
              <w:rFonts w:asciiTheme="minorHAnsi" w:eastAsiaTheme="minorEastAsia" w:hAnsiTheme="minorHAnsi" w:cstheme="minorBidi"/>
              <w:b w:val="0"/>
              <w:sz w:val="22"/>
              <w:szCs w:val="22"/>
            </w:rPr>
          </w:pPr>
          <w:hyperlink w:anchor="_Toc117090621" w:history="1">
            <w:r w:rsidR="003A6DE1" w:rsidRPr="00933005">
              <w:rPr>
                <w:rStyle w:val="Hyperlink"/>
              </w:rPr>
              <w:t xml:space="preserve">H.  </w:t>
            </w:r>
            <w:r w:rsidR="003A6DE1">
              <w:rPr>
                <w:rFonts w:asciiTheme="minorHAnsi" w:eastAsiaTheme="minorEastAsia" w:hAnsiTheme="minorHAnsi" w:cstheme="minorBidi"/>
                <w:b w:val="0"/>
                <w:sz w:val="22"/>
                <w:szCs w:val="22"/>
              </w:rPr>
              <w:tab/>
            </w:r>
            <w:r w:rsidR="003A6DE1" w:rsidRPr="00933005">
              <w:rPr>
                <w:rStyle w:val="Hyperlink"/>
                <w:caps/>
              </w:rPr>
              <w:t>Contents of the Electronic Journal</w:t>
            </w:r>
            <w:r w:rsidR="003A6DE1">
              <w:rPr>
                <w:webHidden/>
              </w:rPr>
              <w:tab/>
            </w:r>
            <w:r w:rsidR="003A6DE1">
              <w:rPr>
                <w:webHidden/>
              </w:rPr>
              <w:fldChar w:fldCharType="begin"/>
            </w:r>
            <w:r w:rsidR="003A6DE1">
              <w:rPr>
                <w:webHidden/>
              </w:rPr>
              <w:instrText xml:space="preserve"> PAGEREF _Toc117090621 \h </w:instrText>
            </w:r>
            <w:r w:rsidR="003A6DE1">
              <w:rPr>
                <w:webHidden/>
              </w:rPr>
            </w:r>
            <w:r w:rsidR="003A6DE1">
              <w:rPr>
                <w:webHidden/>
              </w:rPr>
              <w:fldChar w:fldCharType="separate"/>
            </w:r>
            <w:r w:rsidR="003A6DE1">
              <w:rPr>
                <w:webHidden/>
              </w:rPr>
              <w:t>18</w:t>
            </w:r>
            <w:r w:rsidR="003A6DE1">
              <w:rPr>
                <w:webHidden/>
              </w:rPr>
              <w:fldChar w:fldCharType="end"/>
            </w:r>
          </w:hyperlink>
        </w:p>
        <w:p w:rsidR="003A6DE1" w:rsidRDefault="00E51030">
          <w:pPr>
            <w:pStyle w:val="TOC1"/>
            <w:rPr>
              <w:rFonts w:asciiTheme="minorHAnsi" w:eastAsiaTheme="minorEastAsia" w:hAnsiTheme="minorHAnsi" w:cstheme="minorBidi"/>
              <w:b w:val="0"/>
              <w:sz w:val="22"/>
              <w:szCs w:val="22"/>
            </w:rPr>
          </w:pPr>
          <w:hyperlink w:anchor="_Toc117090622" w:history="1">
            <w:r w:rsidR="003A6DE1" w:rsidRPr="00933005">
              <w:rPr>
                <w:rStyle w:val="Hyperlink"/>
              </w:rPr>
              <w:t xml:space="preserve">I.  </w:t>
            </w:r>
            <w:r w:rsidR="003A6DE1">
              <w:rPr>
                <w:rFonts w:asciiTheme="minorHAnsi" w:eastAsiaTheme="minorEastAsia" w:hAnsiTheme="minorHAnsi" w:cstheme="minorBidi"/>
                <w:b w:val="0"/>
                <w:sz w:val="22"/>
                <w:szCs w:val="22"/>
              </w:rPr>
              <w:tab/>
            </w:r>
            <w:r w:rsidR="003A6DE1" w:rsidRPr="00933005">
              <w:rPr>
                <w:rStyle w:val="Hyperlink"/>
                <w:caps/>
              </w:rPr>
              <w:t>Surrender of Electronic Journal and CT Recording</w:t>
            </w:r>
            <w:r w:rsidR="003A6DE1">
              <w:rPr>
                <w:webHidden/>
              </w:rPr>
              <w:tab/>
            </w:r>
            <w:r w:rsidR="003A6DE1">
              <w:rPr>
                <w:webHidden/>
              </w:rPr>
              <w:fldChar w:fldCharType="begin"/>
            </w:r>
            <w:r w:rsidR="003A6DE1">
              <w:rPr>
                <w:webHidden/>
              </w:rPr>
              <w:instrText xml:space="preserve"> PAGEREF _Toc117090622 \h </w:instrText>
            </w:r>
            <w:r w:rsidR="003A6DE1">
              <w:rPr>
                <w:webHidden/>
              </w:rPr>
            </w:r>
            <w:r w:rsidR="003A6DE1">
              <w:rPr>
                <w:webHidden/>
              </w:rPr>
              <w:fldChar w:fldCharType="separate"/>
            </w:r>
            <w:r w:rsidR="003A6DE1">
              <w:rPr>
                <w:webHidden/>
              </w:rPr>
              <w:t>19</w:t>
            </w:r>
            <w:r w:rsidR="003A6DE1">
              <w:rPr>
                <w:webHidden/>
              </w:rPr>
              <w:fldChar w:fldCharType="end"/>
            </w:r>
          </w:hyperlink>
        </w:p>
        <w:p w:rsidR="003A6DE1" w:rsidRDefault="00E51030">
          <w:pPr>
            <w:pStyle w:val="TOC1"/>
            <w:rPr>
              <w:rFonts w:asciiTheme="minorHAnsi" w:eastAsiaTheme="minorEastAsia" w:hAnsiTheme="minorHAnsi" w:cstheme="minorBidi"/>
              <w:b w:val="0"/>
              <w:sz w:val="22"/>
              <w:szCs w:val="22"/>
            </w:rPr>
          </w:pPr>
          <w:hyperlink w:anchor="_Toc117090623" w:history="1">
            <w:r w:rsidR="003A6DE1" w:rsidRPr="00933005">
              <w:rPr>
                <w:rStyle w:val="Hyperlink"/>
              </w:rPr>
              <w:t xml:space="preserve">J.  </w:t>
            </w:r>
            <w:r w:rsidR="003A6DE1">
              <w:rPr>
                <w:rFonts w:asciiTheme="minorHAnsi" w:eastAsiaTheme="minorEastAsia" w:hAnsiTheme="minorHAnsi" w:cstheme="minorBidi"/>
                <w:b w:val="0"/>
                <w:sz w:val="22"/>
                <w:szCs w:val="22"/>
              </w:rPr>
              <w:tab/>
            </w:r>
            <w:r w:rsidR="003A6DE1" w:rsidRPr="00933005">
              <w:rPr>
                <w:rStyle w:val="Hyperlink"/>
                <w:caps/>
              </w:rPr>
              <w:t>Reporting to the Agency</w:t>
            </w:r>
            <w:r w:rsidR="003A6DE1">
              <w:rPr>
                <w:webHidden/>
              </w:rPr>
              <w:tab/>
            </w:r>
            <w:r w:rsidR="003A6DE1">
              <w:rPr>
                <w:webHidden/>
              </w:rPr>
              <w:fldChar w:fldCharType="begin"/>
            </w:r>
            <w:r w:rsidR="003A6DE1">
              <w:rPr>
                <w:webHidden/>
              </w:rPr>
              <w:instrText xml:space="preserve"> PAGEREF _Toc117090623 \h </w:instrText>
            </w:r>
            <w:r w:rsidR="003A6DE1">
              <w:rPr>
                <w:webHidden/>
              </w:rPr>
            </w:r>
            <w:r w:rsidR="003A6DE1">
              <w:rPr>
                <w:webHidden/>
              </w:rPr>
              <w:fldChar w:fldCharType="separate"/>
            </w:r>
            <w:r w:rsidR="003A6DE1">
              <w:rPr>
                <w:webHidden/>
              </w:rPr>
              <w:t>22</w:t>
            </w:r>
            <w:r w:rsidR="003A6DE1">
              <w:rPr>
                <w:webHidden/>
              </w:rPr>
              <w:fldChar w:fldCharType="end"/>
            </w:r>
          </w:hyperlink>
        </w:p>
        <w:p w:rsidR="003A6DE1" w:rsidRDefault="00E51030">
          <w:pPr>
            <w:pStyle w:val="TOC1"/>
            <w:rPr>
              <w:rFonts w:asciiTheme="minorHAnsi" w:eastAsiaTheme="minorEastAsia" w:hAnsiTheme="minorHAnsi" w:cstheme="minorBidi"/>
              <w:b w:val="0"/>
              <w:sz w:val="22"/>
              <w:szCs w:val="22"/>
            </w:rPr>
          </w:pPr>
          <w:hyperlink w:anchor="_Toc117090624" w:history="1">
            <w:r w:rsidR="003A6DE1" w:rsidRPr="00933005">
              <w:rPr>
                <w:rStyle w:val="Hyperlink"/>
              </w:rPr>
              <w:t xml:space="preserve">K.  </w:t>
            </w:r>
            <w:r w:rsidR="003A6DE1">
              <w:rPr>
                <w:rFonts w:asciiTheme="minorHAnsi" w:eastAsiaTheme="minorEastAsia" w:hAnsiTheme="minorHAnsi" w:cstheme="minorBidi"/>
                <w:b w:val="0"/>
                <w:sz w:val="22"/>
                <w:szCs w:val="22"/>
              </w:rPr>
              <w:tab/>
            </w:r>
            <w:r w:rsidR="003A6DE1" w:rsidRPr="00933005">
              <w:rPr>
                <w:rStyle w:val="Hyperlink"/>
                <w:caps/>
              </w:rPr>
              <w:t>Oaths and Affirmations in Judicial actions and proceedings</w:t>
            </w:r>
            <w:r w:rsidR="003A6DE1">
              <w:rPr>
                <w:webHidden/>
              </w:rPr>
              <w:tab/>
            </w:r>
            <w:r w:rsidR="003A6DE1">
              <w:rPr>
                <w:webHidden/>
              </w:rPr>
              <w:fldChar w:fldCharType="begin"/>
            </w:r>
            <w:r w:rsidR="003A6DE1">
              <w:rPr>
                <w:webHidden/>
              </w:rPr>
              <w:instrText xml:space="preserve"> PAGEREF _Toc117090624 \h </w:instrText>
            </w:r>
            <w:r w:rsidR="003A6DE1">
              <w:rPr>
                <w:webHidden/>
              </w:rPr>
            </w:r>
            <w:r w:rsidR="003A6DE1">
              <w:rPr>
                <w:webHidden/>
              </w:rPr>
              <w:fldChar w:fldCharType="separate"/>
            </w:r>
            <w:r w:rsidR="003A6DE1">
              <w:rPr>
                <w:webHidden/>
              </w:rPr>
              <w:t>22</w:t>
            </w:r>
            <w:r w:rsidR="003A6DE1">
              <w:rPr>
                <w:webHidden/>
              </w:rPr>
              <w:fldChar w:fldCharType="end"/>
            </w:r>
          </w:hyperlink>
        </w:p>
        <w:p w:rsidR="003A6DE1" w:rsidRDefault="00E51030">
          <w:pPr>
            <w:pStyle w:val="TOC1"/>
            <w:rPr>
              <w:rFonts w:asciiTheme="minorHAnsi" w:eastAsiaTheme="minorEastAsia" w:hAnsiTheme="minorHAnsi" w:cstheme="minorBidi"/>
              <w:b w:val="0"/>
              <w:sz w:val="22"/>
              <w:szCs w:val="22"/>
            </w:rPr>
          </w:pPr>
          <w:hyperlink w:anchor="_Toc117090625" w:history="1">
            <w:r w:rsidR="003A6DE1" w:rsidRPr="00933005">
              <w:rPr>
                <w:rStyle w:val="Hyperlink"/>
                <w:caps/>
              </w:rPr>
              <w:t xml:space="preserve">L.  </w:t>
            </w:r>
            <w:r w:rsidR="003A6DE1">
              <w:rPr>
                <w:rFonts w:asciiTheme="minorHAnsi" w:eastAsiaTheme="minorEastAsia" w:hAnsiTheme="minorHAnsi" w:cstheme="minorBidi"/>
                <w:b w:val="0"/>
                <w:sz w:val="22"/>
                <w:szCs w:val="22"/>
              </w:rPr>
              <w:tab/>
            </w:r>
            <w:r w:rsidR="003A6DE1" w:rsidRPr="00933005">
              <w:rPr>
                <w:rStyle w:val="Hyperlink"/>
                <w:caps/>
              </w:rPr>
              <w:t>Documents Prohibited from Being Notarized Remotely</w:t>
            </w:r>
            <w:r w:rsidR="003A6DE1">
              <w:rPr>
                <w:webHidden/>
              </w:rPr>
              <w:tab/>
            </w:r>
            <w:r w:rsidR="003A6DE1">
              <w:rPr>
                <w:webHidden/>
              </w:rPr>
              <w:fldChar w:fldCharType="begin"/>
            </w:r>
            <w:r w:rsidR="003A6DE1">
              <w:rPr>
                <w:webHidden/>
              </w:rPr>
              <w:instrText xml:space="preserve"> PAGEREF _Toc117090625 \h </w:instrText>
            </w:r>
            <w:r w:rsidR="003A6DE1">
              <w:rPr>
                <w:webHidden/>
              </w:rPr>
            </w:r>
            <w:r w:rsidR="003A6DE1">
              <w:rPr>
                <w:webHidden/>
              </w:rPr>
              <w:fldChar w:fldCharType="separate"/>
            </w:r>
            <w:r w:rsidR="003A6DE1">
              <w:rPr>
                <w:webHidden/>
              </w:rPr>
              <w:t>24</w:t>
            </w:r>
            <w:r w:rsidR="003A6DE1">
              <w:rPr>
                <w:webHidden/>
              </w:rPr>
              <w:fldChar w:fldCharType="end"/>
            </w:r>
          </w:hyperlink>
        </w:p>
        <w:p w:rsidR="003A6DE1" w:rsidRDefault="00E51030">
          <w:pPr>
            <w:pStyle w:val="TOC1"/>
            <w:rPr>
              <w:rFonts w:asciiTheme="minorHAnsi" w:eastAsiaTheme="minorEastAsia" w:hAnsiTheme="minorHAnsi" w:cstheme="minorBidi"/>
              <w:b w:val="0"/>
              <w:sz w:val="22"/>
              <w:szCs w:val="22"/>
            </w:rPr>
          </w:pPr>
          <w:hyperlink w:anchor="_Toc117090626" w:history="1">
            <w:r w:rsidR="003A6DE1" w:rsidRPr="00933005">
              <w:rPr>
                <w:rStyle w:val="Hyperlink"/>
              </w:rPr>
              <w:t xml:space="preserve">M.  </w:t>
            </w:r>
            <w:r w:rsidR="003A6DE1">
              <w:rPr>
                <w:rFonts w:asciiTheme="minorHAnsi" w:eastAsiaTheme="minorEastAsia" w:hAnsiTheme="minorHAnsi" w:cstheme="minorBidi"/>
                <w:b w:val="0"/>
                <w:sz w:val="22"/>
                <w:szCs w:val="22"/>
              </w:rPr>
              <w:tab/>
            </w:r>
            <w:r w:rsidR="003A6DE1" w:rsidRPr="00933005">
              <w:rPr>
                <w:rStyle w:val="Hyperlink"/>
                <w:caps/>
              </w:rPr>
              <w:t>Reasonable Accommodation</w:t>
            </w:r>
            <w:r w:rsidR="003A6DE1">
              <w:rPr>
                <w:webHidden/>
              </w:rPr>
              <w:tab/>
            </w:r>
            <w:r w:rsidR="003A6DE1">
              <w:rPr>
                <w:webHidden/>
              </w:rPr>
              <w:fldChar w:fldCharType="begin"/>
            </w:r>
            <w:r w:rsidR="003A6DE1">
              <w:rPr>
                <w:webHidden/>
              </w:rPr>
              <w:instrText xml:space="preserve"> PAGEREF _Toc117090626 \h </w:instrText>
            </w:r>
            <w:r w:rsidR="003A6DE1">
              <w:rPr>
                <w:webHidden/>
              </w:rPr>
            </w:r>
            <w:r w:rsidR="003A6DE1">
              <w:rPr>
                <w:webHidden/>
              </w:rPr>
              <w:fldChar w:fldCharType="separate"/>
            </w:r>
            <w:r w:rsidR="003A6DE1">
              <w:rPr>
                <w:webHidden/>
              </w:rPr>
              <w:t>25</w:t>
            </w:r>
            <w:r w:rsidR="003A6DE1">
              <w:rPr>
                <w:webHidden/>
              </w:rPr>
              <w:fldChar w:fldCharType="end"/>
            </w:r>
          </w:hyperlink>
        </w:p>
        <w:p w:rsidR="003A6DE1" w:rsidRDefault="00E51030">
          <w:pPr>
            <w:pStyle w:val="TOC1"/>
            <w:rPr>
              <w:rFonts w:asciiTheme="minorHAnsi" w:eastAsiaTheme="minorEastAsia" w:hAnsiTheme="minorHAnsi" w:cstheme="minorBidi"/>
              <w:b w:val="0"/>
              <w:sz w:val="22"/>
              <w:szCs w:val="22"/>
            </w:rPr>
          </w:pPr>
          <w:hyperlink w:anchor="_Toc117090627" w:history="1">
            <w:r w:rsidR="003A6DE1" w:rsidRPr="00933005">
              <w:rPr>
                <w:rStyle w:val="Hyperlink"/>
              </w:rPr>
              <w:t xml:space="preserve">N.  </w:t>
            </w:r>
            <w:r w:rsidR="003A6DE1">
              <w:rPr>
                <w:rFonts w:asciiTheme="minorHAnsi" w:eastAsiaTheme="minorEastAsia" w:hAnsiTheme="minorHAnsi" w:cstheme="minorBidi"/>
                <w:b w:val="0"/>
                <w:sz w:val="22"/>
                <w:szCs w:val="22"/>
              </w:rPr>
              <w:tab/>
            </w:r>
            <w:r w:rsidR="003A6DE1" w:rsidRPr="00933005">
              <w:rPr>
                <w:rStyle w:val="Hyperlink"/>
                <w:caps/>
              </w:rPr>
              <w:t>Applicability of other laws</w:t>
            </w:r>
            <w:r w:rsidR="003A6DE1">
              <w:rPr>
                <w:webHidden/>
              </w:rPr>
              <w:tab/>
            </w:r>
            <w:r w:rsidR="003A6DE1">
              <w:rPr>
                <w:webHidden/>
              </w:rPr>
              <w:fldChar w:fldCharType="begin"/>
            </w:r>
            <w:r w:rsidR="003A6DE1">
              <w:rPr>
                <w:webHidden/>
              </w:rPr>
              <w:instrText xml:space="preserve"> PAGEREF _Toc117090627 \h </w:instrText>
            </w:r>
            <w:r w:rsidR="003A6DE1">
              <w:rPr>
                <w:webHidden/>
              </w:rPr>
            </w:r>
            <w:r w:rsidR="003A6DE1">
              <w:rPr>
                <w:webHidden/>
              </w:rPr>
              <w:fldChar w:fldCharType="separate"/>
            </w:r>
            <w:r w:rsidR="003A6DE1">
              <w:rPr>
                <w:webHidden/>
              </w:rPr>
              <w:t>26</w:t>
            </w:r>
            <w:r w:rsidR="003A6DE1">
              <w:rPr>
                <w:webHidden/>
              </w:rPr>
              <w:fldChar w:fldCharType="end"/>
            </w:r>
          </w:hyperlink>
        </w:p>
        <w:p w:rsidR="00CA5AD6" w:rsidRPr="00721567" w:rsidRDefault="00CA5AD6" w:rsidP="00B42714">
          <w:pPr>
            <w:pStyle w:val="TOC1"/>
          </w:pPr>
          <w:r w:rsidRPr="004E0CF7">
            <w:fldChar w:fldCharType="end"/>
          </w:r>
        </w:p>
      </w:sdtContent>
    </w:sdt>
    <w:p w:rsidR="00CA5AD6" w:rsidRPr="00651D87" w:rsidRDefault="00CA5AD6" w:rsidP="00651D87">
      <w:pPr>
        <w:widowControl/>
        <w:spacing w:line="360" w:lineRule="auto"/>
        <w:rPr>
          <w:b/>
          <w:caps/>
          <w:sz w:val="20"/>
        </w:rPr>
      </w:pPr>
    </w:p>
    <w:tbl>
      <w:tblPr>
        <w:tblW w:w="9630" w:type="dxa"/>
        <w:tblLook w:val="04A0" w:firstRow="1" w:lastRow="0" w:firstColumn="1" w:lastColumn="0" w:noHBand="0" w:noVBand="1"/>
      </w:tblPr>
      <w:tblGrid>
        <w:gridCol w:w="2155"/>
        <w:gridCol w:w="7475"/>
      </w:tblGrid>
      <w:tr w:rsidR="000926EC" w:rsidRPr="00721567" w:rsidTr="00905AC8">
        <w:tc>
          <w:tcPr>
            <w:tcW w:w="9630" w:type="dxa"/>
            <w:gridSpan w:val="2"/>
            <w:tcBorders>
              <w:top w:val="single" w:sz="8" w:space="0" w:color="auto"/>
              <w:left w:val="single" w:sz="8" w:space="0" w:color="auto"/>
              <w:bottom w:val="single" w:sz="8" w:space="0" w:color="auto"/>
              <w:right w:val="single" w:sz="8" w:space="0" w:color="auto"/>
            </w:tcBorders>
          </w:tcPr>
          <w:p w:rsidR="000926EC" w:rsidRPr="00651D87" w:rsidRDefault="000926EC" w:rsidP="000926EC">
            <w:pPr>
              <w:widowControl/>
              <w:spacing w:line="360" w:lineRule="auto"/>
              <w:jc w:val="center"/>
              <w:rPr>
                <w:b/>
                <w:caps/>
                <w:sz w:val="20"/>
              </w:rPr>
            </w:pPr>
            <w:r w:rsidRPr="00651D87">
              <w:rPr>
                <w:b/>
                <w:caps/>
                <w:sz w:val="20"/>
              </w:rPr>
              <w:t>Glossary</w:t>
            </w:r>
          </w:p>
          <w:p w:rsidR="000926EC" w:rsidRPr="00721567" w:rsidRDefault="000926EC" w:rsidP="00651D87">
            <w:pPr>
              <w:widowControl/>
              <w:spacing w:line="360" w:lineRule="auto"/>
              <w:rPr>
                <w:b/>
                <w:sz w:val="20"/>
              </w:rPr>
            </w:pPr>
          </w:p>
        </w:tc>
      </w:tr>
      <w:tr w:rsidR="00CA5AD6" w:rsidRPr="00721567" w:rsidTr="00905AC8">
        <w:tc>
          <w:tcPr>
            <w:tcW w:w="2155" w:type="dxa"/>
            <w:tcBorders>
              <w:top w:val="single" w:sz="8" w:space="0" w:color="auto"/>
              <w:left w:val="single" w:sz="8" w:space="0" w:color="auto"/>
              <w:bottom w:val="single" w:sz="8" w:space="0" w:color="auto"/>
            </w:tcBorders>
          </w:tcPr>
          <w:p w:rsidR="00CA5AD6" w:rsidRPr="00721567" w:rsidRDefault="00CA5AD6" w:rsidP="00651D87">
            <w:pPr>
              <w:widowControl/>
              <w:spacing w:line="360" w:lineRule="auto"/>
              <w:rPr>
                <w:b/>
                <w:sz w:val="20"/>
              </w:rPr>
            </w:pPr>
            <w:r w:rsidRPr="00721567">
              <w:rPr>
                <w:b/>
                <w:sz w:val="20"/>
              </w:rPr>
              <w:t>Glossary Term</w:t>
            </w:r>
          </w:p>
        </w:tc>
        <w:tc>
          <w:tcPr>
            <w:tcW w:w="7475" w:type="dxa"/>
            <w:tcBorders>
              <w:top w:val="single" w:sz="8" w:space="0" w:color="auto"/>
              <w:bottom w:val="single" w:sz="8" w:space="0" w:color="auto"/>
              <w:right w:val="single" w:sz="8" w:space="0" w:color="auto"/>
            </w:tcBorders>
          </w:tcPr>
          <w:p w:rsidR="00CA5AD6" w:rsidRPr="00721567" w:rsidRDefault="00CA5AD6" w:rsidP="00651D87">
            <w:pPr>
              <w:widowControl/>
              <w:spacing w:line="360" w:lineRule="auto"/>
              <w:rPr>
                <w:b/>
                <w:sz w:val="20"/>
              </w:rPr>
            </w:pPr>
            <w:r w:rsidRPr="00721567">
              <w:rPr>
                <w:b/>
                <w:sz w:val="20"/>
              </w:rPr>
              <w:t>Definition</w:t>
            </w:r>
          </w:p>
        </w:tc>
      </w:tr>
      <w:tr w:rsidR="00CA5AD6" w:rsidRPr="00721567" w:rsidTr="00905AC8">
        <w:tc>
          <w:tcPr>
            <w:tcW w:w="2155" w:type="dxa"/>
            <w:tcBorders>
              <w:top w:val="single" w:sz="8" w:space="0" w:color="auto"/>
              <w:left w:val="single" w:sz="8" w:space="0" w:color="auto"/>
              <w:bottom w:val="single" w:sz="8" w:space="0" w:color="auto"/>
            </w:tcBorders>
          </w:tcPr>
          <w:p w:rsidR="00CA5AD6" w:rsidRPr="00721567" w:rsidRDefault="00CA5AD6" w:rsidP="00651D87">
            <w:pPr>
              <w:widowControl/>
              <w:spacing w:line="360" w:lineRule="auto"/>
              <w:rPr>
                <w:sz w:val="20"/>
              </w:rPr>
            </w:pPr>
            <w:r w:rsidRPr="00721567">
              <w:rPr>
                <w:sz w:val="20"/>
              </w:rPr>
              <w:t>Agency</w:t>
            </w:r>
          </w:p>
        </w:tc>
        <w:tc>
          <w:tcPr>
            <w:tcW w:w="7475" w:type="dxa"/>
            <w:tcBorders>
              <w:top w:val="single" w:sz="8" w:space="0" w:color="auto"/>
              <w:bottom w:val="single" w:sz="8" w:space="0" w:color="auto"/>
              <w:right w:val="single" w:sz="8" w:space="0" w:color="auto"/>
            </w:tcBorders>
          </w:tcPr>
          <w:p w:rsidR="00CA5AD6" w:rsidRPr="00721567" w:rsidRDefault="00CA5AD6" w:rsidP="00651D87">
            <w:pPr>
              <w:widowControl/>
              <w:spacing w:line="360" w:lineRule="auto"/>
              <w:rPr>
                <w:sz w:val="20"/>
              </w:rPr>
            </w:pPr>
            <w:r w:rsidRPr="00721567">
              <w:rPr>
                <w:sz w:val="20"/>
              </w:rPr>
              <w:t>The North Carolina Department of the Secretary of State</w:t>
            </w:r>
          </w:p>
        </w:tc>
      </w:tr>
      <w:tr w:rsidR="00CA5AD6" w:rsidRPr="00721567" w:rsidTr="00905AC8">
        <w:tc>
          <w:tcPr>
            <w:tcW w:w="2155" w:type="dxa"/>
            <w:tcBorders>
              <w:top w:val="single" w:sz="8" w:space="0" w:color="auto"/>
              <w:left w:val="single" w:sz="8" w:space="0" w:color="auto"/>
              <w:bottom w:val="single" w:sz="8" w:space="0" w:color="auto"/>
            </w:tcBorders>
          </w:tcPr>
          <w:p w:rsidR="00CA5AD6" w:rsidRPr="00721567" w:rsidRDefault="00CA5AD6" w:rsidP="00651D87">
            <w:pPr>
              <w:widowControl/>
              <w:spacing w:line="360" w:lineRule="auto"/>
              <w:rPr>
                <w:sz w:val="20"/>
              </w:rPr>
            </w:pPr>
            <w:r w:rsidRPr="00721567">
              <w:rPr>
                <w:sz w:val="20"/>
              </w:rPr>
              <w:t>ANPR</w:t>
            </w:r>
          </w:p>
        </w:tc>
        <w:tc>
          <w:tcPr>
            <w:tcW w:w="7475" w:type="dxa"/>
            <w:tcBorders>
              <w:top w:val="single" w:sz="8" w:space="0" w:color="auto"/>
              <w:bottom w:val="single" w:sz="8" w:space="0" w:color="auto"/>
              <w:right w:val="single" w:sz="8" w:space="0" w:color="auto"/>
            </w:tcBorders>
          </w:tcPr>
          <w:p w:rsidR="00CA5AD6" w:rsidRPr="00721567" w:rsidRDefault="00CA5AD6" w:rsidP="00651D87">
            <w:pPr>
              <w:widowControl/>
              <w:spacing w:line="360" w:lineRule="auto"/>
              <w:rPr>
                <w:sz w:val="20"/>
              </w:rPr>
            </w:pPr>
            <w:r w:rsidRPr="00721567">
              <w:rPr>
                <w:sz w:val="20"/>
              </w:rPr>
              <w:t>The Advance Notice of Proposed Rulemaking</w:t>
            </w:r>
          </w:p>
        </w:tc>
      </w:tr>
      <w:tr w:rsidR="00CA5AD6" w:rsidRPr="00721567" w:rsidTr="00905AC8">
        <w:tc>
          <w:tcPr>
            <w:tcW w:w="2155" w:type="dxa"/>
            <w:tcBorders>
              <w:top w:val="single" w:sz="8" w:space="0" w:color="auto"/>
              <w:left w:val="single" w:sz="8" w:space="0" w:color="auto"/>
              <w:bottom w:val="single" w:sz="8" w:space="0" w:color="auto"/>
            </w:tcBorders>
          </w:tcPr>
          <w:p w:rsidR="00CA5AD6" w:rsidRPr="00721567" w:rsidRDefault="00CA5AD6" w:rsidP="00651D87">
            <w:pPr>
              <w:widowControl/>
              <w:spacing w:line="360" w:lineRule="auto"/>
              <w:rPr>
                <w:sz w:val="20"/>
              </w:rPr>
            </w:pPr>
            <w:r w:rsidRPr="00721567">
              <w:rPr>
                <w:sz w:val="20"/>
              </w:rPr>
              <w:t>CT Recording</w:t>
            </w:r>
          </w:p>
        </w:tc>
        <w:tc>
          <w:tcPr>
            <w:tcW w:w="7475" w:type="dxa"/>
            <w:tcBorders>
              <w:top w:val="single" w:sz="8" w:space="0" w:color="auto"/>
              <w:bottom w:val="single" w:sz="8" w:space="0" w:color="auto"/>
              <w:right w:val="single" w:sz="8" w:space="0" w:color="auto"/>
            </w:tcBorders>
          </w:tcPr>
          <w:p w:rsidR="00CA5AD6" w:rsidRPr="00721567" w:rsidRDefault="00CA5AD6" w:rsidP="00244D02">
            <w:pPr>
              <w:widowControl/>
              <w:spacing w:line="360" w:lineRule="auto"/>
              <w:rPr>
                <w:sz w:val="20"/>
              </w:rPr>
            </w:pPr>
            <w:r w:rsidRPr="00721567">
              <w:rPr>
                <w:sz w:val="20"/>
              </w:rPr>
              <w:t>The communication technology recording defined in RENA as “the simultaneous, synchronous audio and visual recording of the notarial act”</w:t>
            </w:r>
            <w:r w:rsidRPr="00721567">
              <w:rPr>
                <w:sz w:val="20"/>
                <w:vertAlign w:val="superscript"/>
              </w:rPr>
              <w:footnoteReference w:id="3"/>
            </w:r>
          </w:p>
        </w:tc>
      </w:tr>
      <w:tr w:rsidR="00CA5AD6" w:rsidRPr="00721567" w:rsidTr="00905AC8">
        <w:tc>
          <w:tcPr>
            <w:tcW w:w="2155" w:type="dxa"/>
            <w:tcBorders>
              <w:top w:val="single" w:sz="8" w:space="0" w:color="auto"/>
              <w:left w:val="single" w:sz="8" w:space="0" w:color="auto"/>
              <w:bottom w:val="single" w:sz="8" w:space="0" w:color="auto"/>
            </w:tcBorders>
          </w:tcPr>
          <w:p w:rsidR="00CA5AD6" w:rsidRPr="00721567" w:rsidDel="004D43F1" w:rsidRDefault="00CA5AD6" w:rsidP="00651D87">
            <w:pPr>
              <w:widowControl/>
              <w:spacing w:line="360" w:lineRule="auto"/>
              <w:rPr>
                <w:sz w:val="20"/>
              </w:rPr>
            </w:pPr>
            <w:r w:rsidRPr="00721567">
              <w:rPr>
                <w:sz w:val="20"/>
              </w:rPr>
              <w:t>eNotary</w:t>
            </w:r>
          </w:p>
        </w:tc>
        <w:tc>
          <w:tcPr>
            <w:tcW w:w="7475" w:type="dxa"/>
            <w:tcBorders>
              <w:top w:val="single" w:sz="8" w:space="0" w:color="auto"/>
              <w:bottom w:val="single" w:sz="8" w:space="0" w:color="auto"/>
              <w:right w:val="single" w:sz="8" w:space="0" w:color="auto"/>
            </w:tcBorders>
          </w:tcPr>
          <w:p w:rsidR="00CA5AD6" w:rsidRPr="00721567" w:rsidRDefault="00CA5AD6" w:rsidP="00244D02">
            <w:pPr>
              <w:widowControl/>
              <w:spacing w:line="360" w:lineRule="auto"/>
              <w:rPr>
                <w:sz w:val="20"/>
              </w:rPr>
            </w:pPr>
            <w:r w:rsidRPr="00721567">
              <w:rPr>
                <w:sz w:val="20"/>
              </w:rPr>
              <w:t>An electronic Notary Public registered with the Agency in conformance with Article 2 of Chapter 10B of the N.C. General Statutes, and who is capable of performing electronic notarial acts</w:t>
            </w:r>
          </w:p>
        </w:tc>
      </w:tr>
      <w:tr w:rsidR="00CA5AD6" w:rsidRPr="00721567" w:rsidTr="00905AC8">
        <w:tc>
          <w:tcPr>
            <w:tcW w:w="2155" w:type="dxa"/>
            <w:tcBorders>
              <w:top w:val="single" w:sz="8" w:space="0" w:color="auto"/>
              <w:left w:val="single" w:sz="8" w:space="0" w:color="auto"/>
              <w:bottom w:val="single" w:sz="8" w:space="0" w:color="auto"/>
            </w:tcBorders>
          </w:tcPr>
          <w:p w:rsidR="00CA5AD6" w:rsidRPr="00721567" w:rsidRDefault="00CA5AD6" w:rsidP="00651D87">
            <w:pPr>
              <w:widowControl/>
              <w:spacing w:line="360" w:lineRule="auto"/>
              <w:rPr>
                <w:sz w:val="20"/>
              </w:rPr>
            </w:pPr>
            <w:r w:rsidRPr="00721567">
              <w:rPr>
                <w:sz w:val="20"/>
              </w:rPr>
              <w:t>IT</w:t>
            </w:r>
          </w:p>
        </w:tc>
        <w:tc>
          <w:tcPr>
            <w:tcW w:w="7475" w:type="dxa"/>
            <w:tcBorders>
              <w:top w:val="single" w:sz="8" w:space="0" w:color="auto"/>
              <w:bottom w:val="single" w:sz="8" w:space="0" w:color="auto"/>
              <w:right w:val="single" w:sz="8" w:space="0" w:color="auto"/>
            </w:tcBorders>
          </w:tcPr>
          <w:p w:rsidR="00CA5AD6" w:rsidRPr="00721567" w:rsidRDefault="00CA5AD6" w:rsidP="00651D87">
            <w:pPr>
              <w:widowControl/>
              <w:spacing w:line="360" w:lineRule="auto"/>
              <w:rPr>
                <w:sz w:val="20"/>
              </w:rPr>
            </w:pPr>
            <w:r w:rsidRPr="00721567">
              <w:rPr>
                <w:sz w:val="20"/>
              </w:rPr>
              <w:t>Information Technology</w:t>
            </w:r>
          </w:p>
        </w:tc>
      </w:tr>
      <w:tr w:rsidR="00CA5AD6" w:rsidRPr="00721567" w:rsidTr="00905AC8">
        <w:tc>
          <w:tcPr>
            <w:tcW w:w="2155" w:type="dxa"/>
            <w:tcBorders>
              <w:top w:val="single" w:sz="8" w:space="0" w:color="auto"/>
              <w:left w:val="single" w:sz="8" w:space="0" w:color="auto"/>
              <w:bottom w:val="single" w:sz="8" w:space="0" w:color="auto"/>
            </w:tcBorders>
          </w:tcPr>
          <w:p w:rsidR="00CA5AD6" w:rsidRPr="00721567" w:rsidRDefault="00CA5AD6" w:rsidP="00651D87">
            <w:pPr>
              <w:widowControl/>
              <w:spacing w:line="360" w:lineRule="auto"/>
              <w:rPr>
                <w:sz w:val="20"/>
              </w:rPr>
            </w:pPr>
            <w:r w:rsidRPr="00721567">
              <w:rPr>
                <w:sz w:val="20"/>
              </w:rPr>
              <w:t>RENP</w:t>
            </w:r>
          </w:p>
        </w:tc>
        <w:tc>
          <w:tcPr>
            <w:tcW w:w="7475" w:type="dxa"/>
            <w:tcBorders>
              <w:top w:val="single" w:sz="8" w:space="0" w:color="auto"/>
              <w:bottom w:val="single" w:sz="8" w:space="0" w:color="auto"/>
              <w:right w:val="single" w:sz="8" w:space="0" w:color="auto"/>
            </w:tcBorders>
          </w:tcPr>
          <w:p w:rsidR="00CA5AD6" w:rsidRPr="00721567" w:rsidRDefault="00CA5AD6" w:rsidP="00244D02">
            <w:pPr>
              <w:widowControl/>
              <w:spacing w:line="360" w:lineRule="auto"/>
              <w:rPr>
                <w:sz w:val="20"/>
              </w:rPr>
            </w:pPr>
            <w:r w:rsidRPr="00721567">
              <w:rPr>
                <w:sz w:val="20"/>
              </w:rPr>
              <w:t>The Remote Electronic Notary Public, defined in RENA</w:t>
            </w:r>
            <w:r w:rsidR="006033BF" w:rsidRPr="00721567">
              <w:rPr>
                <w:rStyle w:val="FootnoteReference"/>
                <w:sz w:val="20"/>
                <w:vertAlign w:val="superscript"/>
              </w:rPr>
              <w:footnoteReference w:id="4"/>
            </w:r>
          </w:p>
        </w:tc>
      </w:tr>
      <w:tr w:rsidR="00CA5AD6" w:rsidRPr="00721567" w:rsidTr="00905AC8">
        <w:tc>
          <w:tcPr>
            <w:tcW w:w="2155" w:type="dxa"/>
            <w:tcBorders>
              <w:top w:val="single" w:sz="8" w:space="0" w:color="auto"/>
              <w:left w:val="single" w:sz="8" w:space="0" w:color="auto"/>
              <w:bottom w:val="single" w:sz="8" w:space="0" w:color="auto"/>
            </w:tcBorders>
          </w:tcPr>
          <w:p w:rsidR="00CA5AD6" w:rsidRPr="00721567" w:rsidRDefault="00CA5AD6" w:rsidP="00651D87">
            <w:pPr>
              <w:widowControl/>
              <w:spacing w:line="360" w:lineRule="auto"/>
              <w:rPr>
                <w:sz w:val="20"/>
              </w:rPr>
            </w:pPr>
            <w:r w:rsidRPr="00721567">
              <w:rPr>
                <w:sz w:val="20"/>
              </w:rPr>
              <w:t>REN</w:t>
            </w:r>
          </w:p>
        </w:tc>
        <w:tc>
          <w:tcPr>
            <w:tcW w:w="7475" w:type="dxa"/>
            <w:tcBorders>
              <w:top w:val="single" w:sz="8" w:space="0" w:color="auto"/>
              <w:bottom w:val="single" w:sz="8" w:space="0" w:color="auto"/>
              <w:right w:val="single" w:sz="8" w:space="0" w:color="auto"/>
            </w:tcBorders>
          </w:tcPr>
          <w:p w:rsidR="00CA5AD6" w:rsidRPr="00721567" w:rsidRDefault="00CA5AD6" w:rsidP="00651D87">
            <w:pPr>
              <w:widowControl/>
              <w:spacing w:line="360" w:lineRule="auto"/>
              <w:rPr>
                <w:sz w:val="20"/>
              </w:rPr>
            </w:pPr>
            <w:r w:rsidRPr="00721567">
              <w:rPr>
                <w:sz w:val="20"/>
              </w:rPr>
              <w:t>Remote Electronic Notarization, defined in RENA</w:t>
            </w:r>
            <w:r w:rsidRPr="00721567">
              <w:rPr>
                <w:sz w:val="20"/>
                <w:vertAlign w:val="superscript"/>
              </w:rPr>
              <w:footnoteReference w:id="5"/>
            </w:r>
          </w:p>
        </w:tc>
      </w:tr>
      <w:tr w:rsidR="00CA5AD6" w:rsidRPr="00721567" w:rsidTr="00905AC8">
        <w:tc>
          <w:tcPr>
            <w:tcW w:w="2155" w:type="dxa"/>
            <w:tcBorders>
              <w:top w:val="single" w:sz="8" w:space="0" w:color="auto"/>
              <w:left w:val="single" w:sz="8" w:space="0" w:color="auto"/>
              <w:bottom w:val="single" w:sz="8" w:space="0" w:color="auto"/>
            </w:tcBorders>
          </w:tcPr>
          <w:p w:rsidR="00CA5AD6" w:rsidRPr="00721567" w:rsidRDefault="00CA5AD6" w:rsidP="00651D87">
            <w:pPr>
              <w:widowControl/>
              <w:spacing w:line="360" w:lineRule="auto"/>
              <w:rPr>
                <w:sz w:val="20"/>
              </w:rPr>
            </w:pPr>
            <w:r w:rsidRPr="00721567">
              <w:rPr>
                <w:sz w:val="20"/>
              </w:rPr>
              <w:t>Secretary</w:t>
            </w:r>
          </w:p>
        </w:tc>
        <w:tc>
          <w:tcPr>
            <w:tcW w:w="7475" w:type="dxa"/>
            <w:tcBorders>
              <w:top w:val="single" w:sz="8" w:space="0" w:color="auto"/>
              <w:bottom w:val="single" w:sz="8" w:space="0" w:color="auto"/>
              <w:right w:val="single" w:sz="8" w:space="0" w:color="auto"/>
            </w:tcBorders>
          </w:tcPr>
          <w:p w:rsidR="00CA5AD6" w:rsidRPr="00721567" w:rsidRDefault="00CA5AD6" w:rsidP="00651D87">
            <w:pPr>
              <w:widowControl/>
              <w:spacing w:line="360" w:lineRule="auto"/>
              <w:rPr>
                <w:sz w:val="20"/>
              </w:rPr>
            </w:pPr>
            <w:r w:rsidRPr="00721567">
              <w:rPr>
                <w:sz w:val="20"/>
              </w:rPr>
              <w:t>The North Carolina Secretary of State</w:t>
            </w:r>
          </w:p>
        </w:tc>
      </w:tr>
      <w:tr w:rsidR="00CA5AD6" w:rsidRPr="00721567" w:rsidTr="00905AC8">
        <w:tc>
          <w:tcPr>
            <w:tcW w:w="2155" w:type="dxa"/>
            <w:tcBorders>
              <w:top w:val="single" w:sz="8" w:space="0" w:color="auto"/>
              <w:left w:val="single" w:sz="8" w:space="0" w:color="auto"/>
              <w:bottom w:val="single" w:sz="8" w:space="0" w:color="auto"/>
            </w:tcBorders>
          </w:tcPr>
          <w:p w:rsidR="00CA5AD6" w:rsidRPr="00721567" w:rsidRDefault="00CA5AD6" w:rsidP="00651D87">
            <w:pPr>
              <w:widowControl/>
              <w:spacing w:line="360" w:lineRule="auto"/>
              <w:rPr>
                <w:sz w:val="20"/>
              </w:rPr>
            </w:pPr>
            <w:r w:rsidRPr="00721567">
              <w:rPr>
                <w:sz w:val="20"/>
              </w:rPr>
              <w:t>RENA</w:t>
            </w:r>
          </w:p>
        </w:tc>
        <w:tc>
          <w:tcPr>
            <w:tcW w:w="7475" w:type="dxa"/>
            <w:tcBorders>
              <w:top w:val="single" w:sz="8" w:space="0" w:color="auto"/>
              <w:bottom w:val="single" w:sz="8" w:space="0" w:color="auto"/>
              <w:right w:val="single" w:sz="8" w:space="0" w:color="auto"/>
            </w:tcBorders>
          </w:tcPr>
          <w:p w:rsidR="00CA5AD6" w:rsidRPr="00721567" w:rsidRDefault="00CA5AD6" w:rsidP="00651D87">
            <w:pPr>
              <w:widowControl/>
              <w:spacing w:line="360" w:lineRule="auto"/>
              <w:rPr>
                <w:sz w:val="20"/>
              </w:rPr>
            </w:pPr>
            <w:r w:rsidRPr="00721567">
              <w:rPr>
                <w:sz w:val="20"/>
              </w:rPr>
              <w:t xml:space="preserve">The </w:t>
            </w:r>
            <w:hyperlink r:id="rId12" w:history="1">
              <w:r w:rsidRPr="00721567">
                <w:rPr>
                  <w:rStyle w:val="Hyperlink"/>
                  <w:sz w:val="20"/>
                </w:rPr>
                <w:t>Remote Electronic Notarization Act</w:t>
              </w:r>
            </w:hyperlink>
            <w:r w:rsidRPr="00721567">
              <w:rPr>
                <w:sz w:val="20"/>
              </w:rPr>
              <w:t>, House Bill 776, Session Law 2022-54</w:t>
            </w:r>
          </w:p>
        </w:tc>
      </w:tr>
    </w:tbl>
    <w:p w:rsidR="00CA5AD6" w:rsidRPr="00721567" w:rsidRDefault="00CA5AD6" w:rsidP="00651D87">
      <w:pPr>
        <w:widowControl/>
        <w:spacing w:line="360" w:lineRule="auto"/>
        <w:rPr>
          <w:sz w:val="20"/>
        </w:rPr>
      </w:pPr>
    </w:p>
    <w:p w:rsidR="00CA5AD6" w:rsidRPr="00721567" w:rsidRDefault="00CA5AD6" w:rsidP="00651D87">
      <w:pPr>
        <w:pStyle w:val="Heading1"/>
        <w:widowControl/>
        <w:spacing w:line="360" w:lineRule="auto"/>
        <w:ind w:left="0"/>
        <w:jc w:val="left"/>
        <w:rPr>
          <w:b/>
          <w:sz w:val="20"/>
        </w:rPr>
      </w:pPr>
      <w:bookmarkStart w:id="1" w:name="_Toc117090614"/>
      <w:r w:rsidRPr="00721567">
        <w:rPr>
          <w:b/>
          <w:sz w:val="20"/>
        </w:rPr>
        <w:t xml:space="preserve">A. </w:t>
      </w:r>
      <w:r w:rsidR="00721567">
        <w:rPr>
          <w:b/>
          <w:sz w:val="20"/>
        </w:rPr>
        <w:tab/>
      </w:r>
      <w:r w:rsidRPr="00651D87">
        <w:rPr>
          <w:b/>
          <w:caps/>
          <w:sz w:val="20"/>
        </w:rPr>
        <w:t>Establishing the Relationship Between Remote Electronic Notaries Public (</w:t>
      </w:r>
      <w:r w:rsidR="00E877EF" w:rsidRPr="00651D87">
        <w:rPr>
          <w:b/>
          <w:caps/>
          <w:sz w:val="20"/>
        </w:rPr>
        <w:t>RENPS)</w:t>
      </w:r>
      <w:r w:rsidRPr="00651D87">
        <w:rPr>
          <w:b/>
          <w:caps/>
          <w:sz w:val="20"/>
        </w:rPr>
        <w:t xml:space="preserve"> and </w:t>
      </w:r>
      <w:r w:rsidRPr="00FE0E0F">
        <w:rPr>
          <w:b/>
          <w:sz w:val="20"/>
        </w:rPr>
        <w:t>e</w:t>
      </w:r>
      <w:r w:rsidRPr="00651D87">
        <w:rPr>
          <w:b/>
          <w:caps/>
          <w:sz w:val="20"/>
        </w:rPr>
        <w:t>Notaries</w:t>
      </w:r>
      <w:bookmarkEnd w:id="1"/>
    </w:p>
    <w:p w:rsidR="00CA5AD6" w:rsidRPr="00721567" w:rsidRDefault="00CA5AD6" w:rsidP="00651D87">
      <w:pPr>
        <w:widowControl/>
        <w:spacing w:line="360" w:lineRule="auto"/>
        <w:rPr>
          <w:sz w:val="20"/>
        </w:rPr>
      </w:pPr>
      <w:r w:rsidRPr="00721567">
        <w:rPr>
          <w:sz w:val="20"/>
        </w:rPr>
        <w:t>The Remote Electronic Notarization Act (RENA) states “a remote electronic notary may perform any of the notarial acts</w:t>
      </w:r>
      <w:r w:rsidR="00244D02">
        <w:rPr>
          <w:sz w:val="20"/>
        </w:rPr>
        <w:t>”</w:t>
      </w:r>
      <w:r w:rsidRPr="00721567">
        <w:rPr>
          <w:sz w:val="20"/>
        </w:rPr>
        <w:t xml:space="preserve"> </w:t>
      </w:r>
      <w:r w:rsidR="00244D02" w:rsidRPr="00721567">
        <w:rPr>
          <w:sz w:val="20"/>
        </w:rPr>
        <w:t>that only an eNotary can perform</w:t>
      </w:r>
      <w:r w:rsidR="00244D02">
        <w:rPr>
          <w:sz w:val="20"/>
        </w:rPr>
        <w:t xml:space="preserve"> “</w:t>
      </w:r>
      <w:r w:rsidRPr="00721567">
        <w:rPr>
          <w:sz w:val="20"/>
        </w:rPr>
        <w:t>by means of communication technology</w:t>
      </w:r>
      <w:r w:rsidR="00244D02">
        <w:rPr>
          <w:sz w:val="20"/>
        </w:rPr>
        <w:t>.</w:t>
      </w:r>
      <w:r w:rsidRPr="00721567">
        <w:rPr>
          <w:sz w:val="20"/>
        </w:rPr>
        <w:t>”</w:t>
      </w:r>
      <w:r w:rsidRPr="00721567">
        <w:rPr>
          <w:sz w:val="20"/>
          <w:vertAlign w:val="superscript"/>
        </w:rPr>
        <w:t xml:space="preserve"> </w:t>
      </w:r>
      <w:r w:rsidRPr="00721567">
        <w:rPr>
          <w:sz w:val="20"/>
          <w:vertAlign w:val="superscript"/>
        </w:rPr>
        <w:footnoteReference w:id="6"/>
      </w:r>
      <w:r w:rsidRPr="00721567">
        <w:rPr>
          <w:sz w:val="20"/>
          <w:vertAlign w:val="superscript"/>
        </w:rPr>
        <w:t xml:space="preserve"> </w:t>
      </w:r>
      <w:r w:rsidR="00E877EF" w:rsidRPr="00721567">
        <w:rPr>
          <w:sz w:val="20"/>
        </w:rPr>
        <w:t xml:space="preserve"> </w:t>
      </w:r>
      <w:r w:rsidRPr="00721567">
        <w:rPr>
          <w:sz w:val="20"/>
        </w:rPr>
        <w:t>The statute elsewhere establishes the types of electronic notarial acts only an eNotary may perform.</w:t>
      </w:r>
      <w:r w:rsidRPr="00721567">
        <w:rPr>
          <w:sz w:val="20"/>
          <w:vertAlign w:val="superscript"/>
        </w:rPr>
        <w:footnoteReference w:id="7"/>
      </w:r>
      <w:r w:rsidRPr="00721567">
        <w:rPr>
          <w:sz w:val="20"/>
          <w:vertAlign w:val="superscript"/>
        </w:rPr>
        <w:t xml:space="preserve"> </w:t>
      </w:r>
      <w:r w:rsidRPr="00721567">
        <w:rPr>
          <w:sz w:val="20"/>
        </w:rPr>
        <w:t xml:space="preserve"> Harmonizing these two provisions, </w:t>
      </w:r>
      <w:r w:rsidRPr="00721567">
        <w:rPr>
          <w:sz w:val="20"/>
        </w:rPr>
        <w:lastRenderedPageBreak/>
        <w:t>and the fact that RENA was placed in the Electronic Notary Act,</w:t>
      </w:r>
      <w:r w:rsidRPr="00721567">
        <w:rPr>
          <w:sz w:val="20"/>
          <w:vertAlign w:val="superscript"/>
        </w:rPr>
        <w:footnoteReference w:id="8"/>
      </w:r>
      <w:r w:rsidRPr="00721567">
        <w:rPr>
          <w:sz w:val="20"/>
        </w:rPr>
        <w:t xml:space="preserve"> leads to the conclusion that the General Assembly intended for all RENPs to be eNotaries.</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RENA is less clear, however, whether all eNotaries must receive training and become registered RENPs.  The definition of eNotary</w:t>
      </w:r>
      <w:r w:rsidRPr="00721567">
        <w:rPr>
          <w:sz w:val="20"/>
          <w:vertAlign w:val="superscript"/>
        </w:rPr>
        <w:footnoteReference w:id="9"/>
      </w:r>
      <w:r w:rsidRPr="00721567">
        <w:rPr>
          <w:sz w:val="20"/>
        </w:rPr>
        <w:t xml:space="preserve"> is independent of, and different from, that of the RENP.</w:t>
      </w:r>
      <w:r w:rsidRPr="00721567">
        <w:rPr>
          <w:sz w:val="20"/>
          <w:vertAlign w:val="superscript"/>
        </w:rPr>
        <w:footnoteReference w:id="10"/>
      </w:r>
      <w:r w:rsidRPr="00721567">
        <w:rPr>
          <w:sz w:val="20"/>
        </w:rPr>
        <w:t xml:space="preserve">  Whether all eNotaries must receive training and become registered RENPs is subject to two possible approaches.  Either:</w:t>
      </w:r>
    </w:p>
    <w:p w:rsidR="00DA1F73" w:rsidRDefault="00892AC8" w:rsidP="00651D87">
      <w:pPr>
        <w:widowControl/>
        <w:spacing w:line="360" w:lineRule="auto"/>
        <w:ind w:left="1440" w:hanging="720"/>
        <w:rPr>
          <w:sz w:val="20"/>
        </w:rPr>
      </w:pPr>
      <w:r w:rsidRPr="00DA1F73">
        <w:rPr>
          <w:sz w:val="20"/>
        </w:rPr>
        <w:t>1</w:t>
      </w:r>
      <w:r w:rsidR="00CA5AD6" w:rsidRPr="00DA1F73">
        <w:rPr>
          <w:sz w:val="20"/>
        </w:rPr>
        <w:t xml:space="preserve">.  There will be two types of commissioned North Carolina Notaries:  </w:t>
      </w:r>
    </w:p>
    <w:p w:rsidR="00DA1F73" w:rsidRDefault="00CA5AD6" w:rsidP="00651D87">
      <w:pPr>
        <w:widowControl/>
        <w:spacing w:line="360" w:lineRule="auto"/>
        <w:ind w:left="990"/>
        <w:rPr>
          <w:sz w:val="20"/>
        </w:rPr>
      </w:pPr>
      <w:r w:rsidRPr="00DA1F73">
        <w:rPr>
          <w:sz w:val="20"/>
        </w:rPr>
        <w:t>(</w:t>
      </w:r>
      <w:r w:rsidR="00DA1F73">
        <w:rPr>
          <w:sz w:val="20"/>
        </w:rPr>
        <w:t>a</w:t>
      </w:r>
      <w:r w:rsidRPr="00DA1F73">
        <w:rPr>
          <w:sz w:val="20"/>
        </w:rPr>
        <w:t xml:space="preserve">) traditional Notaries Public, and </w:t>
      </w:r>
    </w:p>
    <w:p w:rsidR="00CA5AD6" w:rsidRDefault="00CA5AD6" w:rsidP="00651D87">
      <w:pPr>
        <w:widowControl/>
        <w:spacing w:line="360" w:lineRule="auto"/>
        <w:ind w:left="990"/>
        <w:rPr>
          <w:sz w:val="20"/>
        </w:rPr>
      </w:pPr>
      <w:r w:rsidRPr="00DA1F73">
        <w:rPr>
          <w:sz w:val="20"/>
        </w:rPr>
        <w:t>(</w:t>
      </w:r>
      <w:r w:rsidR="00DA1F73">
        <w:rPr>
          <w:sz w:val="20"/>
        </w:rPr>
        <w:t>b</w:t>
      </w:r>
      <w:r w:rsidRPr="00DA1F73">
        <w:rPr>
          <w:sz w:val="20"/>
        </w:rPr>
        <w:t>) eNotaries, all of whom are trained and commissioned as RENPs; or</w:t>
      </w:r>
    </w:p>
    <w:p w:rsidR="00CF5EDE" w:rsidRDefault="00CF5EDE" w:rsidP="00651D87">
      <w:pPr>
        <w:widowControl/>
        <w:spacing w:line="360" w:lineRule="auto"/>
        <w:ind w:left="990"/>
        <w:rPr>
          <w:sz w:val="20"/>
        </w:rPr>
      </w:pPr>
    </w:p>
    <w:p w:rsidR="00050673" w:rsidRDefault="00892AC8" w:rsidP="00651D87">
      <w:pPr>
        <w:widowControl/>
        <w:spacing w:line="360" w:lineRule="auto"/>
        <w:ind w:left="1440" w:hanging="720"/>
        <w:rPr>
          <w:sz w:val="20"/>
        </w:rPr>
      </w:pPr>
      <w:r w:rsidRPr="00DA1F73">
        <w:rPr>
          <w:sz w:val="20"/>
        </w:rPr>
        <w:t>2</w:t>
      </w:r>
      <w:r w:rsidR="00CA5AD6" w:rsidRPr="00DA1F73">
        <w:rPr>
          <w:sz w:val="20"/>
        </w:rPr>
        <w:t xml:space="preserve">. </w:t>
      </w:r>
      <w:r w:rsidR="00DA1F73">
        <w:rPr>
          <w:sz w:val="20"/>
        </w:rPr>
        <w:t xml:space="preserve"> </w:t>
      </w:r>
      <w:r w:rsidR="00CA5AD6" w:rsidRPr="00721567">
        <w:rPr>
          <w:sz w:val="20"/>
        </w:rPr>
        <w:t xml:space="preserve">There will be three types of commissioned North Carolina Notaries:  </w:t>
      </w:r>
    </w:p>
    <w:p w:rsidR="008633B8" w:rsidRDefault="00CA5AD6" w:rsidP="00651D87">
      <w:pPr>
        <w:widowControl/>
        <w:spacing w:line="360" w:lineRule="auto"/>
        <w:ind w:left="990"/>
        <w:rPr>
          <w:sz w:val="20"/>
        </w:rPr>
      </w:pPr>
      <w:r w:rsidRPr="00721567">
        <w:rPr>
          <w:sz w:val="20"/>
        </w:rPr>
        <w:t>(</w:t>
      </w:r>
      <w:r w:rsidR="008633B8">
        <w:rPr>
          <w:sz w:val="20"/>
        </w:rPr>
        <w:t>a</w:t>
      </w:r>
      <w:r w:rsidRPr="00721567">
        <w:rPr>
          <w:sz w:val="20"/>
        </w:rPr>
        <w:t xml:space="preserve">) Notaries Public, </w:t>
      </w:r>
    </w:p>
    <w:p w:rsidR="008633B8" w:rsidRDefault="00CA5AD6" w:rsidP="00651D87">
      <w:pPr>
        <w:widowControl/>
        <w:spacing w:line="360" w:lineRule="auto"/>
        <w:ind w:left="990"/>
        <w:rPr>
          <w:sz w:val="20"/>
        </w:rPr>
      </w:pPr>
      <w:r w:rsidRPr="00721567">
        <w:rPr>
          <w:sz w:val="20"/>
        </w:rPr>
        <w:t>(</w:t>
      </w:r>
      <w:r w:rsidR="008633B8">
        <w:rPr>
          <w:sz w:val="20"/>
        </w:rPr>
        <w:t>b</w:t>
      </w:r>
      <w:r w:rsidRPr="00721567">
        <w:rPr>
          <w:sz w:val="20"/>
        </w:rPr>
        <w:t xml:space="preserve">) eNotaries, and </w:t>
      </w:r>
    </w:p>
    <w:p w:rsidR="00CA5AD6" w:rsidRPr="00721567" w:rsidRDefault="00CA5AD6" w:rsidP="00651D87">
      <w:pPr>
        <w:widowControl/>
        <w:spacing w:line="360" w:lineRule="auto"/>
        <w:ind w:left="990"/>
        <w:rPr>
          <w:sz w:val="20"/>
        </w:rPr>
      </w:pPr>
      <w:r w:rsidRPr="00721567">
        <w:rPr>
          <w:sz w:val="20"/>
        </w:rPr>
        <w:t>(</w:t>
      </w:r>
      <w:r w:rsidR="008633B8">
        <w:rPr>
          <w:sz w:val="20"/>
        </w:rPr>
        <w:t>c</w:t>
      </w:r>
      <w:r w:rsidRPr="00721567">
        <w:rPr>
          <w:sz w:val="20"/>
        </w:rPr>
        <w:t>) RENPs who are eNotaries and who have chosen to become RENPs by receiving additional training.</w:t>
      </w:r>
    </w:p>
    <w:p w:rsidR="00F42DBD" w:rsidRDefault="00F42DBD" w:rsidP="00651D87">
      <w:pPr>
        <w:widowControl/>
        <w:spacing w:line="360" w:lineRule="auto"/>
        <w:rPr>
          <w:b/>
          <w:sz w:val="20"/>
        </w:rPr>
      </w:pPr>
    </w:p>
    <w:p w:rsidR="00CA5AD6" w:rsidRPr="00721567" w:rsidRDefault="00CA5AD6" w:rsidP="00651D87">
      <w:pPr>
        <w:widowControl/>
        <w:spacing w:line="360" w:lineRule="auto"/>
        <w:rPr>
          <w:sz w:val="20"/>
          <w:shd w:val="clear" w:color="auto" w:fill="F2F2F2" w:themeFill="background1" w:themeFillShade="F2"/>
        </w:rPr>
      </w:pPr>
      <w:r w:rsidRPr="00721567">
        <w:rPr>
          <w:b/>
          <w:sz w:val="20"/>
        </w:rPr>
        <w:t>Question A.1:</w:t>
      </w:r>
      <w:r w:rsidR="00EC13DB">
        <w:rPr>
          <w:b/>
          <w:sz w:val="20"/>
        </w:rPr>
        <w:t xml:space="preserve">  </w:t>
      </w:r>
      <w:r w:rsidRPr="00721567">
        <w:rPr>
          <w:sz w:val="20"/>
        </w:rPr>
        <w:t xml:space="preserve">The Agency invites stakeholders to comment on the relative merits of these approaches, and whether other interpretations of the interplay between RENP and eNotary commissioning are appropriate under </w:t>
      </w:r>
      <w:r w:rsidR="00734CB8">
        <w:rPr>
          <w:sz w:val="20"/>
        </w:rPr>
        <w:t>G.S.</w:t>
      </w:r>
      <w:r w:rsidRPr="00721567">
        <w:rPr>
          <w:sz w:val="20"/>
        </w:rPr>
        <w:t xml:space="preserve"> 10B.</w:t>
      </w:r>
    </w:p>
    <w:p w:rsidR="00CA5AD6" w:rsidRPr="00721567" w:rsidRDefault="00CA5AD6" w:rsidP="00651D87">
      <w:pPr>
        <w:widowControl/>
        <w:spacing w:line="360" w:lineRule="auto"/>
        <w:rPr>
          <w:sz w:val="20"/>
        </w:rPr>
      </w:pPr>
    </w:p>
    <w:p w:rsidR="00CA5AD6" w:rsidRPr="00721567" w:rsidRDefault="00CA5AD6" w:rsidP="00651D87">
      <w:pPr>
        <w:pStyle w:val="Heading1"/>
        <w:widowControl/>
        <w:spacing w:line="360" w:lineRule="auto"/>
        <w:ind w:firstLine="720"/>
        <w:jc w:val="left"/>
        <w:rPr>
          <w:b/>
          <w:sz w:val="20"/>
        </w:rPr>
      </w:pPr>
      <w:bookmarkStart w:id="2" w:name="_Toc117090615"/>
      <w:r w:rsidRPr="00721567">
        <w:rPr>
          <w:b/>
          <w:sz w:val="20"/>
        </w:rPr>
        <w:t xml:space="preserve">B.  </w:t>
      </w:r>
      <w:r w:rsidR="00892AC8">
        <w:rPr>
          <w:b/>
          <w:sz w:val="20"/>
        </w:rPr>
        <w:tab/>
      </w:r>
      <w:r w:rsidR="00EC68E8" w:rsidRPr="00651D87">
        <w:rPr>
          <w:b/>
          <w:caps/>
          <w:sz w:val="20"/>
        </w:rPr>
        <w:t xml:space="preserve">Conducting REN for </w:t>
      </w:r>
      <w:r w:rsidRPr="00651D87">
        <w:rPr>
          <w:b/>
          <w:caps/>
          <w:sz w:val="20"/>
        </w:rPr>
        <w:t>Principal</w:t>
      </w:r>
      <w:r w:rsidR="00244D02">
        <w:rPr>
          <w:b/>
          <w:caps/>
          <w:sz w:val="20"/>
        </w:rPr>
        <w:t>s</w:t>
      </w:r>
      <w:r w:rsidR="00EC68E8" w:rsidRPr="00651D87">
        <w:rPr>
          <w:b/>
          <w:caps/>
          <w:sz w:val="20"/>
        </w:rPr>
        <w:t xml:space="preserve"> Located in U.S. Territories</w:t>
      </w:r>
      <w:bookmarkEnd w:id="2"/>
      <w:r w:rsidR="00EC68E8" w:rsidRPr="00721567">
        <w:rPr>
          <w:b/>
          <w:sz w:val="20"/>
        </w:rPr>
        <w:t xml:space="preserve"> </w:t>
      </w:r>
    </w:p>
    <w:p w:rsidR="00CA5AD6" w:rsidRPr="00721567" w:rsidRDefault="00CA5AD6" w:rsidP="00651D87">
      <w:pPr>
        <w:widowControl/>
        <w:spacing w:line="360" w:lineRule="auto"/>
        <w:rPr>
          <w:sz w:val="20"/>
        </w:rPr>
      </w:pPr>
      <w:r w:rsidRPr="00721567">
        <w:rPr>
          <w:sz w:val="20"/>
        </w:rPr>
        <w:t>RENA allows a North Carolina RENP to perform a REN for an individual “who is located at the time of the remote electronic notarial act . . . [i]nside the United States</w:t>
      </w:r>
      <w:r w:rsidR="00EC68E8" w:rsidRPr="00721567">
        <w:rPr>
          <w:sz w:val="20"/>
        </w:rPr>
        <w:t>.</w:t>
      </w:r>
      <w:r w:rsidRPr="00721567">
        <w:rPr>
          <w:sz w:val="20"/>
        </w:rPr>
        <w:t>”</w:t>
      </w:r>
      <w:r w:rsidRPr="00721567">
        <w:rPr>
          <w:sz w:val="20"/>
          <w:vertAlign w:val="superscript"/>
        </w:rPr>
        <w:footnoteReference w:id="11"/>
      </w:r>
      <w:r w:rsidRPr="00721567">
        <w:rPr>
          <w:sz w:val="20"/>
          <w:vertAlign w:val="superscript"/>
        </w:rPr>
        <w:t xml:space="preserve"> </w:t>
      </w:r>
      <w:r w:rsidRPr="00721567">
        <w:rPr>
          <w:sz w:val="20"/>
        </w:rPr>
        <w:t xml:space="preserve">  The RENP may also perform a REN in specified circumstances for a limited set of individuals on US military bases, embassies, and similar locations.</w:t>
      </w:r>
      <w:r w:rsidR="00157E2B" w:rsidRPr="00721567">
        <w:rPr>
          <w:sz w:val="20"/>
          <w:vertAlign w:val="superscript"/>
        </w:rPr>
        <w:footnoteReference w:id="12"/>
      </w:r>
      <w:r w:rsidRPr="00721567">
        <w:rPr>
          <w:sz w:val="20"/>
        </w:rPr>
        <w:t xml:space="preserve">  RENA does not include a definition of “United States”.  </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A strict interpretation of RENA means that an RENP could not perform a REN for an individual located in one of the sixteen U.S. territories (assuming the individual</w:t>
      </w:r>
      <w:r w:rsidRPr="00721567" w:rsidDel="00D86A0E">
        <w:rPr>
          <w:sz w:val="20"/>
        </w:rPr>
        <w:t xml:space="preserve"> </w:t>
      </w:r>
      <w:r w:rsidRPr="00721567">
        <w:rPr>
          <w:sz w:val="20"/>
        </w:rPr>
        <w:t xml:space="preserve">does not otherwise qualify for the military or diplomatic exception).  Five of the U.S. territories have permanent residents who are U.S. citizens: American Samoa, </w:t>
      </w:r>
      <w:r w:rsidR="00244D02">
        <w:rPr>
          <w:sz w:val="20"/>
        </w:rPr>
        <w:t xml:space="preserve">Guam, the Northern Mariana Islands, </w:t>
      </w:r>
      <w:r w:rsidRPr="00721567">
        <w:rPr>
          <w:sz w:val="20"/>
        </w:rPr>
        <w:t xml:space="preserve">Puerto Rico, </w:t>
      </w:r>
      <w:r w:rsidR="00244D02">
        <w:rPr>
          <w:sz w:val="20"/>
        </w:rPr>
        <w:t>and the</w:t>
      </w:r>
      <w:r w:rsidRPr="00721567">
        <w:rPr>
          <w:sz w:val="20"/>
        </w:rPr>
        <w:t xml:space="preserve"> U.S. Virgin Islands. </w:t>
      </w:r>
    </w:p>
    <w:p w:rsidR="00F42DBD" w:rsidRDefault="00F42DBD" w:rsidP="00651D87">
      <w:pPr>
        <w:widowControl/>
        <w:spacing w:line="360" w:lineRule="auto"/>
        <w:rPr>
          <w:b/>
          <w:sz w:val="20"/>
        </w:rPr>
      </w:pPr>
    </w:p>
    <w:p w:rsidR="00CA5AD6" w:rsidRPr="00721567" w:rsidRDefault="00CA5AD6" w:rsidP="00651D87">
      <w:pPr>
        <w:widowControl/>
        <w:spacing w:line="360" w:lineRule="auto"/>
        <w:rPr>
          <w:sz w:val="20"/>
        </w:rPr>
      </w:pPr>
      <w:r w:rsidRPr="00721567">
        <w:rPr>
          <w:b/>
          <w:sz w:val="20"/>
        </w:rPr>
        <w:t>Question B.1:</w:t>
      </w:r>
      <w:r w:rsidR="00734CB8">
        <w:rPr>
          <w:b/>
          <w:sz w:val="20"/>
        </w:rPr>
        <w:t xml:space="preserve">  </w:t>
      </w:r>
      <w:r w:rsidRPr="00721567">
        <w:rPr>
          <w:sz w:val="20"/>
        </w:rPr>
        <w:t xml:space="preserve">Is there any legal basis </w:t>
      </w:r>
      <w:r w:rsidR="00BA76CE" w:rsidRPr="00721567">
        <w:rPr>
          <w:sz w:val="20"/>
        </w:rPr>
        <w:t xml:space="preserve">to </w:t>
      </w:r>
      <w:r w:rsidR="00EC68E8" w:rsidRPr="00721567">
        <w:rPr>
          <w:sz w:val="20"/>
        </w:rPr>
        <w:t>conclud</w:t>
      </w:r>
      <w:r w:rsidR="00BA76CE" w:rsidRPr="00721567">
        <w:rPr>
          <w:sz w:val="20"/>
        </w:rPr>
        <w:t>e</w:t>
      </w:r>
      <w:r w:rsidR="00EC68E8" w:rsidRPr="00721567">
        <w:rPr>
          <w:sz w:val="20"/>
        </w:rPr>
        <w:t xml:space="preserve"> that </w:t>
      </w:r>
      <w:r w:rsidRPr="00721567">
        <w:rPr>
          <w:sz w:val="20"/>
        </w:rPr>
        <w:t xml:space="preserve">U.S. territories </w:t>
      </w:r>
      <w:r w:rsidR="00EC68E8" w:rsidRPr="00721567">
        <w:rPr>
          <w:sz w:val="20"/>
        </w:rPr>
        <w:t xml:space="preserve">are </w:t>
      </w:r>
      <w:r w:rsidRPr="00721567">
        <w:rPr>
          <w:sz w:val="20"/>
        </w:rPr>
        <w:t xml:space="preserve">“inside the United States”?  </w:t>
      </w:r>
      <w:r w:rsidR="00EC68E8" w:rsidRPr="00721567">
        <w:rPr>
          <w:sz w:val="20"/>
        </w:rPr>
        <w:t>Is there any other legal basis under which an RENP could perform a</w:t>
      </w:r>
      <w:r w:rsidR="00F20350">
        <w:rPr>
          <w:sz w:val="20"/>
        </w:rPr>
        <w:t>n</w:t>
      </w:r>
      <w:r w:rsidR="00EC68E8" w:rsidRPr="00721567">
        <w:rPr>
          <w:sz w:val="20"/>
        </w:rPr>
        <w:t xml:space="preserve"> REN for a principal located in a U.S. territory?  </w:t>
      </w:r>
      <w:r w:rsidRPr="00721567">
        <w:rPr>
          <w:sz w:val="20"/>
        </w:rPr>
        <w:t>If yes</w:t>
      </w:r>
      <w:r w:rsidR="00EC68E8" w:rsidRPr="00721567">
        <w:rPr>
          <w:sz w:val="20"/>
        </w:rPr>
        <w:t xml:space="preserve"> to either of these questions</w:t>
      </w:r>
      <w:r w:rsidRPr="00721567">
        <w:rPr>
          <w:sz w:val="20"/>
        </w:rPr>
        <w:t xml:space="preserve">, please explain and provide the legal basis for that conclusion.  </w:t>
      </w:r>
    </w:p>
    <w:p w:rsidR="00CA5AD6" w:rsidRPr="00721567" w:rsidRDefault="00CA5AD6" w:rsidP="00651D87">
      <w:pPr>
        <w:widowControl/>
        <w:spacing w:line="360" w:lineRule="auto"/>
        <w:rPr>
          <w:sz w:val="20"/>
        </w:rPr>
      </w:pPr>
    </w:p>
    <w:p w:rsidR="00CA5AD6" w:rsidRPr="00721567" w:rsidRDefault="00CA5AD6" w:rsidP="00651D87">
      <w:pPr>
        <w:pStyle w:val="Heading1"/>
        <w:widowControl/>
        <w:spacing w:line="360" w:lineRule="auto"/>
        <w:ind w:left="0"/>
        <w:jc w:val="left"/>
        <w:rPr>
          <w:b/>
          <w:sz w:val="20"/>
        </w:rPr>
      </w:pPr>
      <w:bookmarkStart w:id="3" w:name="_Toc117090616"/>
      <w:r w:rsidRPr="00721567">
        <w:rPr>
          <w:b/>
          <w:sz w:val="20"/>
        </w:rPr>
        <w:lastRenderedPageBreak/>
        <w:t xml:space="preserve">C.  </w:t>
      </w:r>
      <w:r w:rsidR="00892AC8">
        <w:rPr>
          <w:b/>
          <w:sz w:val="20"/>
        </w:rPr>
        <w:tab/>
      </w:r>
      <w:r w:rsidR="00661CC5" w:rsidRPr="00651D87">
        <w:rPr>
          <w:b/>
          <w:caps/>
          <w:sz w:val="20"/>
        </w:rPr>
        <w:t xml:space="preserve">Use of Credible Witness to Establish </w:t>
      </w:r>
      <w:r w:rsidR="00244D02">
        <w:rPr>
          <w:b/>
          <w:caps/>
          <w:sz w:val="20"/>
        </w:rPr>
        <w:t>I</w:t>
      </w:r>
      <w:r w:rsidRPr="00651D87">
        <w:rPr>
          <w:b/>
          <w:caps/>
          <w:sz w:val="20"/>
        </w:rPr>
        <w:t>dentity of Remotely Located Principal</w:t>
      </w:r>
      <w:r w:rsidR="00244D02">
        <w:rPr>
          <w:b/>
          <w:caps/>
          <w:sz w:val="20"/>
        </w:rPr>
        <w:t>s</w:t>
      </w:r>
      <w:bookmarkEnd w:id="3"/>
    </w:p>
    <w:p w:rsidR="00CF5EDE" w:rsidRDefault="00CA5AD6" w:rsidP="00651D87">
      <w:pPr>
        <w:widowControl/>
        <w:spacing w:line="360" w:lineRule="auto"/>
        <w:rPr>
          <w:sz w:val="20"/>
        </w:rPr>
      </w:pPr>
      <w:r w:rsidRPr="00721567">
        <w:rPr>
          <w:sz w:val="20"/>
        </w:rPr>
        <w:t>RENA does not specifically describe the use of a “credible witness” as a permissible means of verifying the identity of the remotely located principal in a REN transaction.</w:t>
      </w:r>
      <w:r w:rsidRPr="00721567">
        <w:rPr>
          <w:rStyle w:val="FootnoteReference"/>
          <w:sz w:val="20"/>
          <w:vertAlign w:val="superscript"/>
        </w:rPr>
        <w:footnoteReference w:id="13"/>
      </w:r>
      <w:r w:rsidRPr="00721567">
        <w:rPr>
          <w:sz w:val="20"/>
        </w:rPr>
        <w:t xml:space="preserve">  RENA states that RENPs shall comply with Article 1 of the Notary Public Act, Chapter 10B of the N.C. General Statutes</w:t>
      </w:r>
      <w:r w:rsidRPr="00721567">
        <w:rPr>
          <w:rStyle w:val="FootnoteReference"/>
          <w:sz w:val="20"/>
          <w:vertAlign w:val="superscript"/>
        </w:rPr>
        <w:footnoteReference w:id="14"/>
      </w:r>
      <w:r w:rsidRPr="00721567">
        <w:rPr>
          <w:sz w:val="20"/>
          <w:vertAlign w:val="superscript"/>
        </w:rPr>
        <w:t xml:space="preserve"> </w:t>
      </w:r>
      <w:r w:rsidRPr="00721567">
        <w:rPr>
          <w:sz w:val="20"/>
        </w:rPr>
        <w:t xml:space="preserve"> unless there is a direct conflict with RENA.</w:t>
      </w:r>
      <w:r w:rsidRPr="00721567">
        <w:rPr>
          <w:rStyle w:val="FootnoteReference"/>
          <w:sz w:val="20"/>
          <w:vertAlign w:val="superscript"/>
        </w:rPr>
        <w:footnoteReference w:id="15"/>
      </w:r>
      <w:r w:rsidR="00661CC5" w:rsidRPr="00721567">
        <w:rPr>
          <w:sz w:val="20"/>
        </w:rPr>
        <w:t xml:space="preserve"> </w:t>
      </w:r>
    </w:p>
    <w:p w:rsidR="00CF5EDE" w:rsidRDefault="00CF5EDE" w:rsidP="00651D87">
      <w:pPr>
        <w:widowControl/>
        <w:spacing w:line="360" w:lineRule="auto"/>
        <w:rPr>
          <w:sz w:val="20"/>
        </w:rPr>
      </w:pPr>
    </w:p>
    <w:p w:rsidR="00CA5AD6" w:rsidRPr="00721567" w:rsidRDefault="00661CC5" w:rsidP="00651D87">
      <w:pPr>
        <w:widowControl/>
        <w:spacing w:line="360" w:lineRule="auto"/>
        <w:rPr>
          <w:sz w:val="20"/>
        </w:rPr>
      </w:pPr>
      <w:r w:rsidRPr="00721567">
        <w:rPr>
          <w:sz w:val="20"/>
        </w:rPr>
        <w:t>Notaries Public and electronic notaries may use a “credible witness” as satisfactory evidence of the principal</w:t>
      </w:r>
      <w:r w:rsidR="00E86B13" w:rsidRPr="00721567">
        <w:rPr>
          <w:sz w:val="20"/>
        </w:rPr>
        <w:t>’</w:t>
      </w:r>
      <w:r w:rsidRPr="00721567">
        <w:rPr>
          <w:sz w:val="20"/>
        </w:rPr>
        <w:t>s identity when in the physical presence of a principal.</w:t>
      </w:r>
      <w:r w:rsidRPr="00721567">
        <w:rPr>
          <w:rStyle w:val="FootnoteReference"/>
          <w:sz w:val="20"/>
          <w:vertAlign w:val="superscript"/>
        </w:rPr>
        <w:footnoteReference w:id="16"/>
      </w:r>
      <w:r w:rsidRPr="00721567">
        <w:rPr>
          <w:sz w:val="20"/>
          <w:vertAlign w:val="superscript"/>
        </w:rPr>
        <w:t xml:space="preserve"> </w:t>
      </w:r>
      <w:r w:rsidRPr="00721567">
        <w:rPr>
          <w:sz w:val="20"/>
        </w:rPr>
        <w:t xml:space="preserve">   Therefore, </w:t>
      </w:r>
      <w:r w:rsidR="00CF5EDE">
        <w:rPr>
          <w:sz w:val="20"/>
        </w:rPr>
        <w:t>t</w:t>
      </w:r>
      <w:r w:rsidR="000774F4" w:rsidRPr="00721567">
        <w:rPr>
          <w:sz w:val="20"/>
        </w:rPr>
        <w:t xml:space="preserve">here is no direct prohibition against such use in RENA, but there is no specific authorization for such use, either.  Therefore, </w:t>
      </w:r>
      <w:r w:rsidRPr="00721567">
        <w:rPr>
          <w:sz w:val="20"/>
        </w:rPr>
        <w:t>i</w:t>
      </w:r>
      <w:r w:rsidR="00CA5AD6" w:rsidRPr="00721567">
        <w:rPr>
          <w:sz w:val="20"/>
        </w:rPr>
        <w:t>t is unclear whether the use by an RENP of a credible witness to verify the principal</w:t>
      </w:r>
      <w:r w:rsidR="00E86B13" w:rsidRPr="00721567">
        <w:rPr>
          <w:sz w:val="20"/>
        </w:rPr>
        <w:t>’</w:t>
      </w:r>
      <w:r w:rsidR="00CA5AD6" w:rsidRPr="00721567">
        <w:rPr>
          <w:sz w:val="20"/>
        </w:rPr>
        <w:t>s identity is a permissible means to identify the remotely located principal</w:t>
      </w:r>
      <w:r w:rsidR="00DC4036">
        <w:rPr>
          <w:sz w:val="20"/>
        </w:rPr>
        <w:t>.</w:t>
      </w:r>
      <w:r w:rsidRPr="00721567">
        <w:rPr>
          <w:sz w:val="20"/>
        </w:rPr>
        <w:t xml:space="preserve"> </w:t>
      </w:r>
    </w:p>
    <w:p w:rsidR="00CF5EDE" w:rsidRDefault="00CF5EDE" w:rsidP="00651D87">
      <w:pPr>
        <w:widowControl/>
        <w:spacing w:line="360" w:lineRule="auto"/>
        <w:rPr>
          <w:b/>
          <w:sz w:val="20"/>
        </w:rPr>
      </w:pPr>
    </w:p>
    <w:p w:rsidR="00CA5AD6" w:rsidRPr="00721567" w:rsidRDefault="00CA5AD6" w:rsidP="00651D87">
      <w:pPr>
        <w:widowControl/>
        <w:spacing w:line="360" w:lineRule="auto"/>
        <w:rPr>
          <w:sz w:val="20"/>
        </w:rPr>
      </w:pPr>
      <w:r w:rsidRPr="00532E66">
        <w:rPr>
          <w:b/>
          <w:sz w:val="20"/>
        </w:rPr>
        <w:t>Question C.1:</w:t>
      </w:r>
      <w:r w:rsidR="00734CB8" w:rsidRPr="00532E66">
        <w:rPr>
          <w:b/>
          <w:sz w:val="20"/>
        </w:rPr>
        <w:t xml:space="preserve">  </w:t>
      </w:r>
      <w:r w:rsidRPr="00721567">
        <w:rPr>
          <w:sz w:val="20"/>
        </w:rPr>
        <w:t xml:space="preserve">Does RENA permit the use of a credible witness in connection </w:t>
      </w:r>
      <w:r w:rsidR="00E877EF" w:rsidRPr="00721567">
        <w:rPr>
          <w:sz w:val="20"/>
        </w:rPr>
        <w:t>with a</w:t>
      </w:r>
      <w:r w:rsidRPr="00721567">
        <w:rPr>
          <w:sz w:val="20"/>
        </w:rPr>
        <w:t xml:space="preserve"> REN? </w:t>
      </w:r>
    </w:p>
    <w:p w:rsidR="00CA5AD6" w:rsidRPr="00721567" w:rsidRDefault="008633B8" w:rsidP="00651D87">
      <w:pPr>
        <w:widowControl/>
        <w:spacing w:line="360" w:lineRule="auto"/>
        <w:rPr>
          <w:sz w:val="20"/>
        </w:rPr>
      </w:pPr>
      <w:r>
        <w:rPr>
          <w:b/>
          <w:sz w:val="20"/>
        </w:rPr>
        <w:t xml:space="preserve">Question C.2:  </w:t>
      </w:r>
      <w:r w:rsidR="00CA5AD6" w:rsidRPr="00721567">
        <w:rPr>
          <w:sz w:val="20"/>
        </w:rPr>
        <w:t>How important has the use of a credible witness been to establishing the identity of a principal when in the physical presence of notaries?</w:t>
      </w:r>
    </w:p>
    <w:p w:rsidR="00CA5AD6" w:rsidRPr="00721567" w:rsidRDefault="00CA5AD6" w:rsidP="00651D87">
      <w:pPr>
        <w:widowControl/>
        <w:spacing w:line="360" w:lineRule="auto"/>
        <w:rPr>
          <w:sz w:val="20"/>
        </w:rPr>
      </w:pPr>
      <w:r w:rsidRPr="00721567">
        <w:rPr>
          <w:b/>
          <w:sz w:val="20"/>
        </w:rPr>
        <w:t xml:space="preserve">Question C.3: </w:t>
      </w:r>
      <w:r w:rsidRPr="00721567">
        <w:rPr>
          <w:sz w:val="20"/>
        </w:rPr>
        <w:t xml:space="preserve"> What are the policy reasons in support or against the use of credible witnesses to establish the identity of a remotely located principal?</w:t>
      </w:r>
    </w:p>
    <w:p w:rsidR="00CA5AD6" w:rsidRPr="00721567" w:rsidRDefault="00CA5AD6" w:rsidP="00651D87">
      <w:pPr>
        <w:widowControl/>
        <w:spacing w:line="360" w:lineRule="auto"/>
        <w:rPr>
          <w:sz w:val="20"/>
        </w:rPr>
      </w:pPr>
    </w:p>
    <w:p w:rsidR="00CA5AD6" w:rsidRPr="001C04DC" w:rsidRDefault="00CA5AD6" w:rsidP="00332993">
      <w:pPr>
        <w:pStyle w:val="Heading1"/>
        <w:widowControl/>
        <w:tabs>
          <w:tab w:val="left" w:pos="0"/>
        </w:tabs>
        <w:spacing w:line="360" w:lineRule="auto"/>
        <w:ind w:left="0"/>
        <w:jc w:val="left"/>
        <w:rPr>
          <w:b/>
          <w:sz w:val="20"/>
        </w:rPr>
      </w:pPr>
      <w:bookmarkStart w:id="4" w:name="_Toc117090617"/>
      <w:r w:rsidRPr="00721567">
        <w:rPr>
          <w:b/>
          <w:sz w:val="20"/>
        </w:rPr>
        <w:t xml:space="preserve">D.  </w:t>
      </w:r>
      <w:r w:rsidR="00734CB8">
        <w:rPr>
          <w:b/>
          <w:sz w:val="20"/>
        </w:rPr>
        <w:tab/>
      </w:r>
      <w:r w:rsidR="00050673" w:rsidRPr="00651D87">
        <w:rPr>
          <w:b/>
          <w:caps/>
          <w:sz w:val="20"/>
        </w:rPr>
        <w:t xml:space="preserve">Maintaining </w:t>
      </w:r>
      <w:r w:rsidRPr="00651D87">
        <w:rPr>
          <w:b/>
          <w:caps/>
          <w:sz w:val="20"/>
        </w:rPr>
        <w:t xml:space="preserve">Control </w:t>
      </w:r>
      <w:r w:rsidR="00E86B13" w:rsidRPr="00651D87">
        <w:rPr>
          <w:b/>
          <w:caps/>
          <w:sz w:val="20"/>
        </w:rPr>
        <w:t>when Employed by Others</w:t>
      </w:r>
      <w:r w:rsidR="004B5C0F">
        <w:rPr>
          <w:b/>
          <w:caps/>
          <w:sz w:val="20"/>
        </w:rPr>
        <w:t xml:space="preserve"> </w:t>
      </w:r>
      <w:r w:rsidR="001C04DC" w:rsidRPr="00651D87">
        <w:rPr>
          <w:b/>
          <w:caps/>
          <w:sz w:val="20"/>
        </w:rPr>
        <w:t xml:space="preserve">— </w:t>
      </w:r>
      <w:r w:rsidR="00050673" w:rsidRPr="00651D87">
        <w:rPr>
          <w:b/>
          <w:caps/>
          <w:sz w:val="20"/>
        </w:rPr>
        <w:t>Platform, Electronic Journal and CT Recording</w:t>
      </w:r>
      <w:bookmarkEnd w:id="4"/>
    </w:p>
    <w:p w:rsidR="00427A8D" w:rsidRPr="00721567" w:rsidRDefault="00427A8D" w:rsidP="00651D87">
      <w:pPr>
        <w:widowControl/>
        <w:spacing w:line="360" w:lineRule="auto"/>
        <w:rPr>
          <w:sz w:val="20"/>
        </w:rPr>
      </w:pPr>
      <w:r w:rsidRPr="00721567">
        <w:rPr>
          <w:sz w:val="20"/>
        </w:rPr>
        <w:t>The Agency anticipates there will be times when one or more RENPs work for an employer that has its own IT systems, security procedures, and procurement approaches.  It is possible that conflicts may arise between the employer’s expectations and statutory obligations of the RENP</w:t>
      </w:r>
      <w:r w:rsidR="00244D02">
        <w:rPr>
          <w:sz w:val="20"/>
        </w:rPr>
        <w:t>,</w:t>
      </w:r>
      <w:r w:rsidRPr="00721567">
        <w:rPr>
          <w:sz w:val="20"/>
        </w:rPr>
        <w:t xml:space="preserve"> outlined below. </w:t>
      </w:r>
    </w:p>
    <w:p w:rsidR="00427A8D" w:rsidRPr="00721567" w:rsidRDefault="00427A8D"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With one narrow exception,</w:t>
      </w:r>
      <w:r w:rsidR="006D1057" w:rsidRPr="00721567">
        <w:rPr>
          <w:rStyle w:val="FootnoteReference"/>
          <w:sz w:val="20"/>
          <w:vertAlign w:val="superscript"/>
        </w:rPr>
        <w:footnoteReference w:id="17"/>
      </w:r>
      <w:r w:rsidRPr="00721567">
        <w:rPr>
          <w:sz w:val="20"/>
        </w:rPr>
        <w:t xml:space="preserve"> RENA establishes that:</w:t>
      </w:r>
    </w:p>
    <w:p w:rsidR="00CA5AD6" w:rsidRPr="00721567" w:rsidRDefault="008633B8" w:rsidP="00651D87">
      <w:pPr>
        <w:pStyle w:val="ListParagraph"/>
        <w:numPr>
          <w:ilvl w:val="0"/>
          <w:numId w:val="12"/>
        </w:numPr>
        <w:tabs>
          <w:tab w:val="left" w:pos="900"/>
        </w:tabs>
        <w:spacing w:line="360" w:lineRule="auto"/>
        <w:ind w:firstLine="0"/>
        <w:rPr>
          <w:rFonts w:cs="Times New Roman"/>
          <w:color w:val="auto"/>
          <w:sz w:val="20"/>
          <w:szCs w:val="20"/>
        </w:rPr>
      </w:pPr>
      <w:r>
        <w:rPr>
          <w:rFonts w:cs="Times New Roman"/>
          <w:color w:val="auto"/>
          <w:sz w:val="20"/>
          <w:szCs w:val="20"/>
        </w:rPr>
        <w:t xml:space="preserve">  </w:t>
      </w:r>
      <w:r w:rsidR="00CA5AD6" w:rsidRPr="00721567">
        <w:rPr>
          <w:rFonts w:cs="Times New Roman"/>
          <w:color w:val="auto"/>
          <w:sz w:val="20"/>
          <w:szCs w:val="20"/>
        </w:rPr>
        <w:t>The RENPs must select the communication technology used to perform the REN</w:t>
      </w:r>
      <w:r w:rsidR="00244D02">
        <w:rPr>
          <w:rFonts w:cs="Times New Roman"/>
          <w:color w:val="auto"/>
          <w:sz w:val="20"/>
          <w:szCs w:val="20"/>
        </w:rPr>
        <w:t>;</w:t>
      </w:r>
      <w:r w:rsidR="00E3111F" w:rsidRPr="00721567">
        <w:rPr>
          <w:rStyle w:val="FootnoteReference"/>
          <w:rFonts w:cs="Times New Roman"/>
          <w:color w:val="auto"/>
          <w:sz w:val="20"/>
          <w:szCs w:val="20"/>
          <w:vertAlign w:val="superscript"/>
        </w:rPr>
        <w:footnoteReference w:id="18"/>
      </w:r>
    </w:p>
    <w:p w:rsidR="00CA5AD6" w:rsidRPr="00721567" w:rsidRDefault="00CA35B8" w:rsidP="00651D87">
      <w:pPr>
        <w:pStyle w:val="ListParagraph"/>
        <w:numPr>
          <w:ilvl w:val="0"/>
          <w:numId w:val="12"/>
        </w:numPr>
        <w:tabs>
          <w:tab w:val="left" w:pos="900"/>
        </w:tabs>
        <w:spacing w:line="360" w:lineRule="auto"/>
        <w:ind w:firstLine="0"/>
        <w:rPr>
          <w:rFonts w:cs="Times New Roman"/>
          <w:color w:val="auto"/>
          <w:sz w:val="20"/>
          <w:szCs w:val="20"/>
        </w:rPr>
      </w:pPr>
      <w:r>
        <w:rPr>
          <w:rFonts w:cs="Times New Roman"/>
          <w:color w:val="auto"/>
          <w:sz w:val="20"/>
          <w:szCs w:val="20"/>
        </w:rPr>
        <w:t xml:space="preserve">  </w:t>
      </w:r>
      <w:r w:rsidR="00CA5AD6" w:rsidRPr="00721567">
        <w:rPr>
          <w:rFonts w:cs="Times New Roman"/>
          <w:color w:val="auto"/>
          <w:sz w:val="20"/>
          <w:szCs w:val="20"/>
        </w:rPr>
        <w:t>No one may select the communication technology for the RENP</w:t>
      </w:r>
      <w:r w:rsidR="00244D02">
        <w:rPr>
          <w:rFonts w:cs="Times New Roman"/>
          <w:color w:val="auto"/>
          <w:sz w:val="20"/>
          <w:szCs w:val="20"/>
        </w:rPr>
        <w:t>;</w:t>
      </w:r>
      <w:r w:rsidR="00E3111F" w:rsidRPr="00721567">
        <w:rPr>
          <w:rStyle w:val="FootnoteReference"/>
          <w:rFonts w:cs="Times New Roman"/>
          <w:color w:val="auto"/>
          <w:sz w:val="20"/>
          <w:szCs w:val="20"/>
          <w:vertAlign w:val="superscript"/>
        </w:rPr>
        <w:footnoteReference w:id="19"/>
      </w:r>
      <w:r w:rsidR="00244D02">
        <w:rPr>
          <w:rFonts w:cs="Times New Roman"/>
          <w:color w:val="auto"/>
          <w:sz w:val="20"/>
          <w:szCs w:val="20"/>
        </w:rPr>
        <w:t xml:space="preserve"> </w:t>
      </w:r>
    </w:p>
    <w:p w:rsidR="00CA5AD6" w:rsidRPr="00721567" w:rsidRDefault="00CA35B8" w:rsidP="00651D87">
      <w:pPr>
        <w:pStyle w:val="ListParagraph"/>
        <w:numPr>
          <w:ilvl w:val="0"/>
          <w:numId w:val="12"/>
        </w:numPr>
        <w:tabs>
          <w:tab w:val="left" w:pos="900"/>
        </w:tabs>
        <w:spacing w:line="360" w:lineRule="auto"/>
        <w:ind w:firstLine="0"/>
        <w:rPr>
          <w:rFonts w:cs="Times New Roman"/>
          <w:color w:val="auto"/>
          <w:sz w:val="20"/>
          <w:szCs w:val="20"/>
        </w:rPr>
      </w:pPr>
      <w:r>
        <w:rPr>
          <w:rFonts w:cs="Times New Roman"/>
          <w:color w:val="auto"/>
          <w:sz w:val="20"/>
          <w:szCs w:val="20"/>
        </w:rPr>
        <w:t xml:space="preserve">  </w:t>
      </w:r>
      <w:r w:rsidR="00CA5AD6" w:rsidRPr="00721567">
        <w:rPr>
          <w:rFonts w:cs="Times New Roman"/>
          <w:color w:val="auto"/>
          <w:sz w:val="20"/>
          <w:szCs w:val="20"/>
        </w:rPr>
        <w:t>The RENP has the duty to take reasonable steps to assure that the communication technology is secure from unauthorized interception</w:t>
      </w:r>
      <w:r w:rsidR="00244D02">
        <w:rPr>
          <w:rFonts w:cs="Times New Roman"/>
          <w:color w:val="auto"/>
          <w:sz w:val="20"/>
          <w:szCs w:val="20"/>
        </w:rPr>
        <w:t>;</w:t>
      </w:r>
      <w:r w:rsidR="00E3111F" w:rsidRPr="00721567">
        <w:rPr>
          <w:rStyle w:val="FootnoteReference"/>
          <w:rFonts w:cs="Times New Roman"/>
          <w:color w:val="auto"/>
          <w:sz w:val="20"/>
          <w:szCs w:val="20"/>
          <w:vertAlign w:val="superscript"/>
        </w:rPr>
        <w:footnoteReference w:id="20"/>
      </w:r>
      <w:r w:rsidR="00CA5AD6" w:rsidRPr="00721567">
        <w:rPr>
          <w:rFonts w:cs="Times New Roman"/>
          <w:color w:val="auto"/>
          <w:sz w:val="20"/>
          <w:szCs w:val="20"/>
        </w:rPr>
        <w:t xml:space="preserve"> </w:t>
      </w:r>
      <w:r w:rsidR="00244D02">
        <w:rPr>
          <w:rFonts w:cs="Times New Roman"/>
          <w:color w:val="auto"/>
          <w:sz w:val="20"/>
          <w:szCs w:val="20"/>
        </w:rPr>
        <w:t>and</w:t>
      </w:r>
      <w:r w:rsidR="00CA5AD6" w:rsidRPr="00721567">
        <w:rPr>
          <w:rFonts w:cs="Times New Roman"/>
          <w:color w:val="auto"/>
          <w:sz w:val="20"/>
          <w:szCs w:val="20"/>
        </w:rPr>
        <w:t xml:space="preserve"> </w:t>
      </w:r>
    </w:p>
    <w:p w:rsidR="00CA5AD6" w:rsidRPr="00721567" w:rsidRDefault="00CA35B8" w:rsidP="00651D87">
      <w:pPr>
        <w:pStyle w:val="ListParagraph"/>
        <w:numPr>
          <w:ilvl w:val="0"/>
          <w:numId w:val="12"/>
        </w:numPr>
        <w:tabs>
          <w:tab w:val="left" w:pos="900"/>
        </w:tabs>
        <w:spacing w:line="360" w:lineRule="auto"/>
        <w:ind w:firstLine="0"/>
        <w:rPr>
          <w:rFonts w:cs="Times New Roman"/>
          <w:color w:val="auto"/>
          <w:sz w:val="20"/>
          <w:szCs w:val="20"/>
        </w:rPr>
      </w:pPr>
      <w:r>
        <w:rPr>
          <w:rFonts w:cs="Times New Roman"/>
          <w:color w:val="auto"/>
          <w:sz w:val="20"/>
          <w:szCs w:val="20"/>
        </w:rPr>
        <w:lastRenderedPageBreak/>
        <w:t xml:space="preserve">  </w:t>
      </w:r>
      <w:r w:rsidR="00CA5AD6" w:rsidRPr="00721567">
        <w:rPr>
          <w:rFonts w:cs="Times New Roman"/>
          <w:color w:val="auto"/>
          <w:sz w:val="20"/>
          <w:szCs w:val="20"/>
        </w:rPr>
        <w:t>The RENP may use only communication technology associated with a platform licensed by the Secretary.</w:t>
      </w:r>
      <w:r w:rsidR="00D95BBE" w:rsidRPr="00721567">
        <w:rPr>
          <w:rStyle w:val="FootnoteReference"/>
          <w:rFonts w:cs="Times New Roman"/>
          <w:color w:val="auto"/>
          <w:sz w:val="20"/>
          <w:szCs w:val="20"/>
          <w:vertAlign w:val="superscript"/>
        </w:rPr>
        <w:footnoteReference w:id="21"/>
      </w:r>
      <w:r w:rsidR="00CA5AD6" w:rsidRPr="00721567">
        <w:rPr>
          <w:rFonts w:cs="Times New Roman"/>
          <w:color w:val="auto"/>
          <w:sz w:val="20"/>
          <w:szCs w:val="20"/>
          <w:vertAlign w:val="superscript"/>
        </w:rPr>
        <w:t xml:space="preserve"> </w:t>
      </w:r>
      <w:r w:rsidR="00CA5AD6" w:rsidRPr="00721567">
        <w:rPr>
          <w:rFonts w:cs="Times New Roman"/>
          <w:color w:val="auto"/>
          <w:sz w:val="20"/>
          <w:szCs w:val="20"/>
        </w:rPr>
        <w:t xml:space="preserve">     </w:t>
      </w:r>
    </w:p>
    <w:p w:rsidR="00CF5EDE" w:rsidRDefault="00CF5EDE"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As is true for Notaries and eNotaries and their seals, the electronic notary seal is the property of the RENP.</w:t>
      </w:r>
      <w:r w:rsidRPr="00721567">
        <w:rPr>
          <w:rStyle w:val="FootnoteReference"/>
          <w:sz w:val="20"/>
          <w:vertAlign w:val="superscript"/>
        </w:rPr>
        <w:footnoteReference w:id="22"/>
      </w:r>
      <w:r w:rsidRPr="00721567">
        <w:rPr>
          <w:sz w:val="20"/>
          <w:vertAlign w:val="superscript"/>
        </w:rPr>
        <w:t xml:space="preserve"> </w:t>
      </w:r>
      <w:r w:rsidRPr="00721567">
        <w:rPr>
          <w:sz w:val="20"/>
        </w:rPr>
        <w:t xml:space="preserve">  </w:t>
      </w:r>
    </w:p>
    <w:p w:rsidR="00CA5AD6"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The RENP</w:t>
      </w:r>
      <w:r w:rsidR="00E86B13" w:rsidRPr="00721567">
        <w:rPr>
          <w:sz w:val="20"/>
        </w:rPr>
        <w:t>’</w:t>
      </w:r>
      <w:r w:rsidRPr="00721567">
        <w:rPr>
          <w:sz w:val="20"/>
        </w:rPr>
        <w:t>s duties under RENA include:</w:t>
      </w:r>
    </w:p>
    <w:p w:rsidR="00CA5AD6" w:rsidRPr="00721567" w:rsidRDefault="00CA35B8" w:rsidP="00CA35B8">
      <w:pPr>
        <w:pStyle w:val="ListParagraph"/>
        <w:numPr>
          <w:ilvl w:val="0"/>
          <w:numId w:val="17"/>
        </w:numPr>
        <w:tabs>
          <w:tab w:val="left" w:pos="900"/>
        </w:tabs>
        <w:spacing w:line="360" w:lineRule="auto"/>
        <w:ind w:firstLine="0"/>
        <w:rPr>
          <w:rFonts w:cs="Times New Roman"/>
          <w:color w:val="auto"/>
          <w:sz w:val="20"/>
          <w:szCs w:val="20"/>
        </w:rPr>
      </w:pPr>
      <w:r>
        <w:rPr>
          <w:rFonts w:cs="Times New Roman"/>
          <w:color w:val="auto"/>
          <w:sz w:val="20"/>
          <w:szCs w:val="20"/>
        </w:rPr>
        <w:t xml:space="preserve">  </w:t>
      </w:r>
      <w:r w:rsidR="00CA5AD6" w:rsidRPr="00721567">
        <w:rPr>
          <w:rFonts w:cs="Times New Roman"/>
          <w:color w:val="auto"/>
          <w:sz w:val="20"/>
          <w:szCs w:val="20"/>
        </w:rPr>
        <w:t xml:space="preserve">Complying with security </w:t>
      </w:r>
      <w:r w:rsidR="00AD68CF" w:rsidRPr="00721567">
        <w:rPr>
          <w:rFonts w:cs="Times New Roman"/>
          <w:color w:val="auto"/>
          <w:sz w:val="20"/>
          <w:szCs w:val="20"/>
        </w:rPr>
        <w:t xml:space="preserve">requirements </w:t>
      </w:r>
      <w:r w:rsidR="00CA5AD6" w:rsidRPr="00721567">
        <w:rPr>
          <w:rFonts w:cs="Times New Roman"/>
          <w:color w:val="auto"/>
          <w:sz w:val="20"/>
          <w:szCs w:val="20"/>
        </w:rPr>
        <w:t>relating to the storage of  CT Recordings,</w:t>
      </w:r>
      <w:r w:rsidR="00D95BBE" w:rsidRPr="00721567">
        <w:rPr>
          <w:rStyle w:val="FootnoteReference"/>
          <w:rFonts w:cs="Times New Roman"/>
          <w:color w:val="auto"/>
          <w:sz w:val="20"/>
          <w:szCs w:val="20"/>
          <w:vertAlign w:val="superscript"/>
        </w:rPr>
        <w:footnoteReference w:id="23"/>
      </w:r>
      <w:r w:rsidR="00CA5AD6" w:rsidRPr="00721567">
        <w:rPr>
          <w:rFonts w:cs="Times New Roman"/>
          <w:color w:val="auto"/>
          <w:sz w:val="20"/>
          <w:szCs w:val="20"/>
        </w:rPr>
        <w:t xml:space="preserve"> </w:t>
      </w:r>
    </w:p>
    <w:p w:rsidR="00CA5AD6" w:rsidRPr="00721567" w:rsidRDefault="00CA35B8" w:rsidP="00CA35B8">
      <w:pPr>
        <w:pStyle w:val="ListParagraph"/>
        <w:numPr>
          <w:ilvl w:val="0"/>
          <w:numId w:val="17"/>
        </w:numPr>
        <w:tabs>
          <w:tab w:val="left" w:pos="900"/>
        </w:tabs>
        <w:spacing w:line="360" w:lineRule="auto"/>
        <w:ind w:firstLine="0"/>
        <w:rPr>
          <w:rFonts w:cs="Times New Roman"/>
          <w:color w:val="auto"/>
          <w:sz w:val="20"/>
          <w:szCs w:val="20"/>
        </w:rPr>
      </w:pPr>
      <w:r>
        <w:rPr>
          <w:rFonts w:cs="Times New Roman"/>
          <w:color w:val="auto"/>
          <w:sz w:val="20"/>
          <w:szCs w:val="20"/>
        </w:rPr>
        <w:t xml:space="preserve">  </w:t>
      </w:r>
      <w:r w:rsidR="00244D02">
        <w:rPr>
          <w:rFonts w:cs="Times New Roman"/>
          <w:color w:val="auto"/>
          <w:sz w:val="20"/>
          <w:szCs w:val="20"/>
        </w:rPr>
        <w:t>Assuring t</w:t>
      </w:r>
      <w:r w:rsidR="00CA5AD6" w:rsidRPr="00721567">
        <w:rPr>
          <w:rFonts w:cs="Times New Roman"/>
          <w:color w:val="auto"/>
          <w:sz w:val="20"/>
          <w:szCs w:val="20"/>
        </w:rPr>
        <w:t xml:space="preserve">he </w:t>
      </w:r>
      <w:r w:rsidR="00244D02">
        <w:rPr>
          <w:rFonts w:cs="Times New Roman"/>
          <w:color w:val="auto"/>
          <w:sz w:val="20"/>
          <w:szCs w:val="20"/>
        </w:rPr>
        <w:t xml:space="preserve">secure </w:t>
      </w:r>
      <w:r w:rsidR="00CA5AD6" w:rsidRPr="00721567">
        <w:rPr>
          <w:rFonts w:cs="Times New Roman"/>
          <w:color w:val="auto"/>
          <w:sz w:val="20"/>
          <w:szCs w:val="20"/>
        </w:rPr>
        <w:t>transmission of CT Recordings,</w:t>
      </w:r>
      <w:r w:rsidR="009B77AA" w:rsidRPr="00721567">
        <w:rPr>
          <w:rStyle w:val="FootnoteReference"/>
          <w:rFonts w:cs="Times New Roman"/>
          <w:color w:val="auto"/>
          <w:sz w:val="20"/>
          <w:szCs w:val="20"/>
          <w:vertAlign w:val="superscript"/>
        </w:rPr>
        <w:footnoteReference w:id="24"/>
      </w:r>
      <w:r w:rsidR="00CA5AD6" w:rsidRPr="00721567">
        <w:rPr>
          <w:rFonts w:cs="Times New Roman"/>
          <w:color w:val="auto"/>
          <w:sz w:val="20"/>
          <w:szCs w:val="20"/>
        </w:rPr>
        <w:t xml:space="preserve"> and </w:t>
      </w:r>
    </w:p>
    <w:p w:rsidR="00CA5AD6" w:rsidRPr="00721567" w:rsidRDefault="00CA35B8" w:rsidP="00CA35B8">
      <w:pPr>
        <w:pStyle w:val="ListParagraph"/>
        <w:numPr>
          <w:ilvl w:val="0"/>
          <w:numId w:val="17"/>
        </w:numPr>
        <w:tabs>
          <w:tab w:val="left" w:pos="900"/>
        </w:tabs>
        <w:spacing w:line="360" w:lineRule="auto"/>
        <w:ind w:firstLine="0"/>
        <w:rPr>
          <w:rFonts w:cs="Times New Roman"/>
          <w:color w:val="auto"/>
          <w:sz w:val="20"/>
          <w:szCs w:val="20"/>
        </w:rPr>
      </w:pPr>
      <w:r>
        <w:rPr>
          <w:rFonts w:cs="Times New Roman"/>
          <w:color w:val="auto"/>
          <w:sz w:val="20"/>
          <w:szCs w:val="20"/>
        </w:rPr>
        <w:t xml:space="preserve">  </w:t>
      </w:r>
      <w:r w:rsidR="00244D02">
        <w:rPr>
          <w:rFonts w:cs="Times New Roman"/>
          <w:color w:val="auto"/>
          <w:sz w:val="20"/>
          <w:szCs w:val="20"/>
        </w:rPr>
        <w:t>Implementing d</w:t>
      </w:r>
      <w:r w:rsidR="00CA5AD6" w:rsidRPr="00721567">
        <w:rPr>
          <w:rFonts w:cs="Times New Roman"/>
          <w:color w:val="auto"/>
          <w:sz w:val="20"/>
          <w:szCs w:val="20"/>
        </w:rPr>
        <w:t>ata protection safeguards.</w:t>
      </w:r>
      <w:r w:rsidR="009B77AA" w:rsidRPr="00721567">
        <w:rPr>
          <w:rStyle w:val="FootnoteReference"/>
          <w:rFonts w:cs="Times New Roman"/>
          <w:color w:val="auto"/>
          <w:sz w:val="20"/>
          <w:szCs w:val="20"/>
          <w:vertAlign w:val="superscript"/>
        </w:rPr>
        <w:footnoteReference w:id="25"/>
      </w:r>
      <w:r w:rsidR="00CA5AD6" w:rsidRPr="00721567">
        <w:rPr>
          <w:rFonts w:cs="Times New Roman"/>
          <w:color w:val="auto"/>
          <w:sz w:val="20"/>
          <w:szCs w:val="20"/>
          <w:vertAlign w:val="superscript"/>
        </w:rPr>
        <w:t xml:space="preserve"> </w:t>
      </w:r>
      <w:r w:rsidR="00CA5AD6" w:rsidRPr="00721567">
        <w:rPr>
          <w:rFonts w:cs="Times New Roman"/>
          <w:color w:val="auto"/>
          <w:sz w:val="20"/>
          <w:szCs w:val="20"/>
        </w:rPr>
        <w:t xml:space="preserve">  </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 xml:space="preserve">The RENP has the obligation to notify both the Secretary and appropriate Register of Deeds within ten </w:t>
      </w:r>
      <w:r w:rsidR="004B5C0F">
        <w:rPr>
          <w:sz w:val="20"/>
        </w:rPr>
        <w:t xml:space="preserve">(10) </w:t>
      </w:r>
      <w:r w:rsidRPr="00721567">
        <w:rPr>
          <w:sz w:val="20"/>
        </w:rPr>
        <w:t>days of discovering:</w:t>
      </w:r>
    </w:p>
    <w:p w:rsidR="00CA5AD6" w:rsidRPr="00721567" w:rsidRDefault="00B86B38" w:rsidP="00B86B38">
      <w:pPr>
        <w:pStyle w:val="ListParagraph"/>
        <w:numPr>
          <w:ilvl w:val="0"/>
          <w:numId w:val="18"/>
        </w:numPr>
        <w:tabs>
          <w:tab w:val="left" w:pos="900"/>
        </w:tabs>
        <w:spacing w:line="360" w:lineRule="auto"/>
        <w:ind w:firstLine="0"/>
        <w:rPr>
          <w:rFonts w:cs="Times New Roman"/>
          <w:color w:val="auto"/>
          <w:sz w:val="20"/>
          <w:szCs w:val="20"/>
        </w:rPr>
      </w:pPr>
      <w:r>
        <w:rPr>
          <w:rFonts w:cs="Times New Roman"/>
          <w:color w:val="auto"/>
          <w:sz w:val="20"/>
          <w:szCs w:val="20"/>
        </w:rPr>
        <w:t xml:space="preserve">  </w:t>
      </w:r>
      <w:r w:rsidR="00CA5AD6" w:rsidRPr="00721567">
        <w:rPr>
          <w:rFonts w:cs="Times New Roman"/>
          <w:color w:val="auto"/>
          <w:sz w:val="20"/>
          <w:szCs w:val="20"/>
        </w:rPr>
        <w:t xml:space="preserve">Any permanent loss of data, </w:t>
      </w:r>
    </w:p>
    <w:p w:rsidR="00CA5AD6" w:rsidRPr="00721567" w:rsidRDefault="00B86B38" w:rsidP="00B86B38">
      <w:pPr>
        <w:pStyle w:val="ListParagraph"/>
        <w:numPr>
          <w:ilvl w:val="0"/>
          <w:numId w:val="18"/>
        </w:numPr>
        <w:tabs>
          <w:tab w:val="left" w:pos="900"/>
        </w:tabs>
        <w:spacing w:line="360" w:lineRule="auto"/>
        <w:ind w:firstLine="0"/>
        <w:rPr>
          <w:rFonts w:cs="Times New Roman"/>
          <w:color w:val="auto"/>
          <w:sz w:val="20"/>
          <w:szCs w:val="20"/>
        </w:rPr>
      </w:pPr>
      <w:r>
        <w:rPr>
          <w:rFonts w:cs="Times New Roman"/>
          <w:color w:val="auto"/>
          <w:sz w:val="20"/>
          <w:szCs w:val="20"/>
        </w:rPr>
        <w:t xml:space="preserve">  </w:t>
      </w:r>
      <w:r w:rsidR="00CA5AD6" w:rsidRPr="00721567">
        <w:rPr>
          <w:rFonts w:cs="Times New Roman"/>
          <w:color w:val="auto"/>
          <w:sz w:val="20"/>
          <w:szCs w:val="20"/>
        </w:rPr>
        <w:t xml:space="preserve">Unauthorized use, </w:t>
      </w:r>
    </w:p>
    <w:p w:rsidR="00CA5AD6" w:rsidRPr="00721567" w:rsidRDefault="00B86B38" w:rsidP="00B86B38">
      <w:pPr>
        <w:pStyle w:val="ListParagraph"/>
        <w:numPr>
          <w:ilvl w:val="0"/>
          <w:numId w:val="18"/>
        </w:numPr>
        <w:tabs>
          <w:tab w:val="left" w:pos="900"/>
        </w:tabs>
        <w:spacing w:line="360" w:lineRule="auto"/>
        <w:ind w:firstLine="0"/>
        <w:rPr>
          <w:rFonts w:cs="Times New Roman"/>
          <w:color w:val="auto"/>
          <w:sz w:val="20"/>
          <w:szCs w:val="20"/>
        </w:rPr>
      </w:pPr>
      <w:r>
        <w:rPr>
          <w:rFonts w:cs="Times New Roman"/>
          <w:color w:val="auto"/>
          <w:sz w:val="20"/>
          <w:szCs w:val="20"/>
        </w:rPr>
        <w:t xml:space="preserve">  </w:t>
      </w:r>
      <w:r w:rsidR="00CA5AD6" w:rsidRPr="00721567">
        <w:rPr>
          <w:rFonts w:cs="Times New Roman"/>
          <w:color w:val="auto"/>
          <w:sz w:val="20"/>
          <w:szCs w:val="20"/>
        </w:rPr>
        <w:t xml:space="preserve">Loss of use, or </w:t>
      </w:r>
    </w:p>
    <w:p w:rsidR="00CA5AD6" w:rsidRPr="00721567" w:rsidRDefault="00B86B38" w:rsidP="00B86B38">
      <w:pPr>
        <w:pStyle w:val="ListParagraph"/>
        <w:numPr>
          <w:ilvl w:val="0"/>
          <w:numId w:val="18"/>
        </w:numPr>
        <w:tabs>
          <w:tab w:val="left" w:pos="900"/>
        </w:tabs>
        <w:spacing w:line="360" w:lineRule="auto"/>
        <w:ind w:firstLine="0"/>
        <w:rPr>
          <w:rFonts w:cs="Times New Roman"/>
          <w:color w:val="auto"/>
          <w:sz w:val="20"/>
          <w:szCs w:val="20"/>
        </w:rPr>
      </w:pPr>
      <w:r>
        <w:rPr>
          <w:rFonts w:cs="Times New Roman"/>
          <w:color w:val="auto"/>
          <w:sz w:val="20"/>
          <w:szCs w:val="20"/>
        </w:rPr>
        <w:t xml:space="preserve">  </w:t>
      </w:r>
      <w:r w:rsidR="00CA5AD6" w:rsidRPr="00721567">
        <w:rPr>
          <w:rFonts w:cs="Times New Roman"/>
          <w:color w:val="auto"/>
          <w:sz w:val="20"/>
          <w:szCs w:val="20"/>
        </w:rPr>
        <w:t xml:space="preserve">Compromise of the security of the electronic journal or the CT </w:t>
      </w:r>
      <w:r w:rsidR="00EF3455" w:rsidRPr="00721567">
        <w:rPr>
          <w:rFonts w:cs="Times New Roman"/>
          <w:color w:val="auto"/>
          <w:sz w:val="20"/>
          <w:szCs w:val="20"/>
        </w:rPr>
        <w:t>R</w:t>
      </w:r>
      <w:r w:rsidR="00CA5AD6" w:rsidRPr="00721567">
        <w:rPr>
          <w:rFonts w:cs="Times New Roman"/>
          <w:color w:val="auto"/>
          <w:sz w:val="20"/>
          <w:szCs w:val="20"/>
        </w:rPr>
        <w:t>ecordings.</w:t>
      </w:r>
      <w:r w:rsidR="009B77AA" w:rsidRPr="00721567">
        <w:rPr>
          <w:rStyle w:val="FootnoteReference"/>
          <w:rFonts w:cs="Times New Roman"/>
          <w:color w:val="auto"/>
          <w:sz w:val="20"/>
          <w:szCs w:val="20"/>
          <w:vertAlign w:val="superscript"/>
        </w:rPr>
        <w:footnoteReference w:id="26"/>
      </w:r>
      <w:r w:rsidR="00CA5AD6" w:rsidRPr="00721567">
        <w:rPr>
          <w:rFonts w:cs="Times New Roman"/>
          <w:color w:val="auto"/>
          <w:sz w:val="20"/>
          <w:szCs w:val="20"/>
        </w:rPr>
        <w:t xml:space="preserve"> </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 xml:space="preserve">In addition, the RENP has the obligation to notify law enforcement, the Secretary, and the appropriate </w:t>
      </w:r>
      <w:r w:rsidR="00AD68CF" w:rsidRPr="00721567">
        <w:rPr>
          <w:sz w:val="20"/>
        </w:rPr>
        <w:t>Register of Deeds</w:t>
      </w:r>
      <w:r w:rsidRPr="00721567">
        <w:rPr>
          <w:sz w:val="20"/>
        </w:rPr>
        <w:t xml:space="preserve"> within ten </w:t>
      </w:r>
      <w:r w:rsidR="004B5C0F">
        <w:rPr>
          <w:sz w:val="20"/>
        </w:rPr>
        <w:t xml:space="preserve">(10) </w:t>
      </w:r>
      <w:r w:rsidRPr="00721567">
        <w:rPr>
          <w:sz w:val="20"/>
        </w:rPr>
        <w:t>days of discovering:</w:t>
      </w:r>
    </w:p>
    <w:p w:rsidR="00CA5AD6" w:rsidRPr="00721567" w:rsidRDefault="00CA5AD6" w:rsidP="00B86B38">
      <w:pPr>
        <w:pStyle w:val="ListParagraph"/>
        <w:numPr>
          <w:ilvl w:val="0"/>
          <w:numId w:val="19"/>
        </w:numPr>
        <w:tabs>
          <w:tab w:val="left" w:pos="990"/>
        </w:tabs>
        <w:spacing w:line="360" w:lineRule="auto"/>
        <w:ind w:firstLine="0"/>
        <w:rPr>
          <w:rFonts w:cs="Times New Roman"/>
          <w:color w:val="auto"/>
          <w:sz w:val="20"/>
          <w:szCs w:val="20"/>
        </w:rPr>
      </w:pPr>
      <w:r w:rsidRPr="00721567">
        <w:rPr>
          <w:rFonts w:cs="Times New Roman"/>
          <w:color w:val="auto"/>
          <w:sz w:val="20"/>
          <w:szCs w:val="20"/>
        </w:rPr>
        <w:t>Theft,</w:t>
      </w:r>
    </w:p>
    <w:p w:rsidR="00CA5AD6" w:rsidRPr="00721567" w:rsidRDefault="00CA5AD6" w:rsidP="00B86B38">
      <w:pPr>
        <w:pStyle w:val="ListParagraph"/>
        <w:numPr>
          <w:ilvl w:val="0"/>
          <w:numId w:val="19"/>
        </w:numPr>
        <w:tabs>
          <w:tab w:val="left" w:pos="990"/>
        </w:tabs>
        <w:spacing w:line="360" w:lineRule="auto"/>
        <w:ind w:firstLine="0"/>
        <w:rPr>
          <w:rFonts w:cs="Times New Roman"/>
          <w:color w:val="auto"/>
          <w:sz w:val="20"/>
          <w:szCs w:val="20"/>
        </w:rPr>
      </w:pPr>
      <w:r w:rsidRPr="00721567">
        <w:rPr>
          <w:rFonts w:cs="Times New Roman"/>
          <w:color w:val="auto"/>
          <w:sz w:val="20"/>
          <w:szCs w:val="20"/>
        </w:rPr>
        <w:t>Tampering, or</w:t>
      </w:r>
    </w:p>
    <w:p w:rsidR="00CA5AD6" w:rsidRPr="00721567" w:rsidRDefault="00CA5AD6" w:rsidP="00B86B38">
      <w:pPr>
        <w:pStyle w:val="ListParagraph"/>
        <w:numPr>
          <w:ilvl w:val="0"/>
          <w:numId w:val="19"/>
        </w:numPr>
        <w:tabs>
          <w:tab w:val="left" w:pos="990"/>
        </w:tabs>
        <w:spacing w:line="360" w:lineRule="auto"/>
        <w:ind w:firstLine="0"/>
        <w:rPr>
          <w:rFonts w:cs="Times New Roman"/>
          <w:color w:val="auto"/>
          <w:sz w:val="20"/>
          <w:szCs w:val="20"/>
        </w:rPr>
      </w:pPr>
      <w:r w:rsidRPr="00721567">
        <w:rPr>
          <w:rFonts w:cs="Times New Roman"/>
          <w:color w:val="auto"/>
          <w:sz w:val="20"/>
          <w:szCs w:val="20"/>
        </w:rPr>
        <w:t>Vandalism of the electronic journal or CT Recordings.</w:t>
      </w:r>
      <w:r w:rsidR="00A06906" w:rsidRPr="00721567">
        <w:rPr>
          <w:rStyle w:val="FootnoteReference"/>
          <w:rFonts w:cs="Times New Roman"/>
          <w:color w:val="auto"/>
          <w:sz w:val="20"/>
          <w:szCs w:val="20"/>
          <w:vertAlign w:val="superscript"/>
        </w:rPr>
        <w:footnoteReference w:id="27"/>
      </w:r>
      <w:r w:rsidRPr="00721567">
        <w:rPr>
          <w:rFonts w:cs="Times New Roman"/>
          <w:color w:val="auto"/>
          <w:sz w:val="20"/>
          <w:szCs w:val="20"/>
        </w:rPr>
        <w:t xml:space="preserve">   </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The RENP is required to enter certain information into an electronic journal and retain the journal for ten years after the last REN entered.</w:t>
      </w:r>
      <w:r w:rsidR="00A06906" w:rsidRPr="00721567">
        <w:rPr>
          <w:rStyle w:val="FootnoteReference"/>
          <w:sz w:val="20"/>
          <w:vertAlign w:val="superscript"/>
        </w:rPr>
        <w:footnoteReference w:id="28"/>
      </w:r>
      <w:r w:rsidRPr="00721567">
        <w:rPr>
          <w:sz w:val="20"/>
          <w:vertAlign w:val="superscript"/>
        </w:rPr>
        <w:t xml:space="preserve"> </w:t>
      </w:r>
      <w:r w:rsidRPr="00721567">
        <w:rPr>
          <w:sz w:val="20"/>
        </w:rPr>
        <w:t xml:space="preserve"> The electronic journal shall be “the exclusive property” of the RENP.</w:t>
      </w:r>
      <w:r w:rsidR="00A06906" w:rsidRPr="00721567">
        <w:rPr>
          <w:rStyle w:val="FootnoteReference"/>
          <w:sz w:val="20"/>
          <w:vertAlign w:val="superscript"/>
        </w:rPr>
        <w:footnoteReference w:id="29"/>
      </w:r>
      <w:r w:rsidRPr="00721567">
        <w:rPr>
          <w:sz w:val="20"/>
        </w:rPr>
        <w:t xml:space="preserve">  The failure of an RENP to provide timely records required by rule shall result in the suspension of the RENP</w:t>
      </w:r>
      <w:r w:rsidR="00E86B13" w:rsidRPr="00721567">
        <w:rPr>
          <w:sz w:val="20"/>
        </w:rPr>
        <w:t>’</w:t>
      </w:r>
      <w:r w:rsidRPr="00721567">
        <w:rPr>
          <w:sz w:val="20"/>
        </w:rPr>
        <w:t>s powers to act as a notary.</w:t>
      </w:r>
      <w:r w:rsidR="00A06906" w:rsidRPr="00721567">
        <w:rPr>
          <w:rStyle w:val="FootnoteReference"/>
          <w:sz w:val="20"/>
          <w:vertAlign w:val="superscript"/>
        </w:rPr>
        <w:footnoteReference w:id="30"/>
      </w:r>
      <w:r w:rsidRPr="00721567">
        <w:rPr>
          <w:sz w:val="20"/>
          <w:vertAlign w:val="superscript"/>
        </w:rPr>
        <w:t xml:space="preserve"> </w:t>
      </w:r>
      <w:r w:rsidRPr="00721567">
        <w:rPr>
          <w:sz w:val="20"/>
        </w:rPr>
        <w:t xml:space="preserve">  </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The Agency anticipates there will be a contract creating a relationship with the vendor(s) of the platform and that the contract will license:</w:t>
      </w:r>
    </w:p>
    <w:p w:rsidR="00CA5AD6" w:rsidRPr="00721567" w:rsidRDefault="00CA5AD6" w:rsidP="00B86B38">
      <w:pPr>
        <w:pStyle w:val="ListParagraph"/>
        <w:numPr>
          <w:ilvl w:val="0"/>
          <w:numId w:val="20"/>
        </w:numPr>
        <w:tabs>
          <w:tab w:val="left" w:pos="990"/>
        </w:tabs>
        <w:spacing w:line="360" w:lineRule="auto"/>
        <w:ind w:firstLine="0"/>
        <w:rPr>
          <w:rFonts w:cs="Times New Roman"/>
          <w:color w:val="auto"/>
          <w:sz w:val="20"/>
          <w:szCs w:val="20"/>
        </w:rPr>
      </w:pPr>
      <w:r w:rsidRPr="00721567">
        <w:rPr>
          <w:rFonts w:cs="Times New Roman"/>
          <w:color w:val="auto"/>
          <w:sz w:val="20"/>
          <w:szCs w:val="20"/>
        </w:rPr>
        <w:lastRenderedPageBreak/>
        <w:t>The use of the communication technology,</w:t>
      </w:r>
    </w:p>
    <w:p w:rsidR="00CA5AD6" w:rsidRPr="00721567" w:rsidRDefault="00CA5AD6" w:rsidP="00B86B38">
      <w:pPr>
        <w:pStyle w:val="ListParagraph"/>
        <w:numPr>
          <w:ilvl w:val="0"/>
          <w:numId w:val="20"/>
        </w:numPr>
        <w:tabs>
          <w:tab w:val="left" w:pos="990"/>
        </w:tabs>
        <w:spacing w:line="360" w:lineRule="auto"/>
        <w:ind w:firstLine="0"/>
        <w:rPr>
          <w:rFonts w:cs="Times New Roman"/>
          <w:color w:val="auto"/>
          <w:sz w:val="20"/>
          <w:szCs w:val="20"/>
        </w:rPr>
      </w:pPr>
      <w:r w:rsidRPr="00721567">
        <w:rPr>
          <w:rFonts w:cs="Times New Roman"/>
          <w:color w:val="auto"/>
          <w:sz w:val="20"/>
          <w:szCs w:val="20"/>
        </w:rPr>
        <w:t xml:space="preserve">The CT Recordings, </w:t>
      </w:r>
    </w:p>
    <w:p w:rsidR="00CA5AD6" w:rsidRPr="00721567" w:rsidRDefault="00CA5AD6" w:rsidP="00B86B38">
      <w:pPr>
        <w:pStyle w:val="ListParagraph"/>
        <w:numPr>
          <w:ilvl w:val="0"/>
          <w:numId w:val="20"/>
        </w:numPr>
        <w:tabs>
          <w:tab w:val="left" w:pos="990"/>
        </w:tabs>
        <w:spacing w:line="360" w:lineRule="auto"/>
        <w:ind w:firstLine="0"/>
        <w:rPr>
          <w:rFonts w:cs="Times New Roman"/>
          <w:color w:val="auto"/>
          <w:sz w:val="20"/>
          <w:szCs w:val="20"/>
        </w:rPr>
      </w:pPr>
      <w:r w:rsidRPr="00721567">
        <w:rPr>
          <w:rFonts w:cs="Times New Roman"/>
          <w:color w:val="auto"/>
          <w:sz w:val="20"/>
          <w:szCs w:val="20"/>
        </w:rPr>
        <w:t xml:space="preserve">Credential analysis, </w:t>
      </w:r>
    </w:p>
    <w:p w:rsidR="00CA5AD6" w:rsidRPr="00721567" w:rsidRDefault="00CA5AD6" w:rsidP="00B86B38">
      <w:pPr>
        <w:pStyle w:val="ListParagraph"/>
        <w:numPr>
          <w:ilvl w:val="0"/>
          <w:numId w:val="20"/>
        </w:numPr>
        <w:tabs>
          <w:tab w:val="left" w:pos="990"/>
        </w:tabs>
        <w:spacing w:line="360" w:lineRule="auto"/>
        <w:ind w:firstLine="0"/>
        <w:rPr>
          <w:rFonts w:cs="Times New Roman"/>
          <w:color w:val="auto"/>
          <w:sz w:val="20"/>
          <w:szCs w:val="20"/>
        </w:rPr>
      </w:pPr>
      <w:r w:rsidRPr="00721567">
        <w:rPr>
          <w:rFonts w:cs="Times New Roman"/>
          <w:color w:val="auto"/>
          <w:sz w:val="20"/>
          <w:szCs w:val="20"/>
        </w:rPr>
        <w:t xml:space="preserve">Identity proofing, </w:t>
      </w:r>
    </w:p>
    <w:p w:rsidR="00CA5AD6" w:rsidRPr="00721567" w:rsidRDefault="00CA5AD6" w:rsidP="00B86B38">
      <w:pPr>
        <w:pStyle w:val="ListParagraph"/>
        <w:numPr>
          <w:ilvl w:val="0"/>
          <w:numId w:val="20"/>
        </w:numPr>
        <w:tabs>
          <w:tab w:val="left" w:pos="990"/>
        </w:tabs>
        <w:spacing w:line="360" w:lineRule="auto"/>
        <w:ind w:firstLine="0"/>
        <w:rPr>
          <w:rFonts w:cs="Times New Roman"/>
          <w:color w:val="auto"/>
          <w:sz w:val="20"/>
          <w:szCs w:val="20"/>
        </w:rPr>
      </w:pPr>
      <w:r w:rsidRPr="00721567">
        <w:rPr>
          <w:rFonts w:cs="Times New Roman"/>
          <w:color w:val="auto"/>
          <w:sz w:val="20"/>
          <w:szCs w:val="20"/>
        </w:rPr>
        <w:t xml:space="preserve">Electronic journal system, and </w:t>
      </w:r>
    </w:p>
    <w:p w:rsidR="00CA5AD6" w:rsidRPr="00721567" w:rsidRDefault="00CA5AD6" w:rsidP="00B86B38">
      <w:pPr>
        <w:pStyle w:val="ListParagraph"/>
        <w:numPr>
          <w:ilvl w:val="0"/>
          <w:numId w:val="20"/>
        </w:numPr>
        <w:tabs>
          <w:tab w:val="left" w:pos="990"/>
        </w:tabs>
        <w:spacing w:line="360" w:lineRule="auto"/>
        <w:ind w:firstLine="0"/>
        <w:rPr>
          <w:rFonts w:cs="Times New Roman"/>
          <w:color w:val="auto"/>
          <w:sz w:val="20"/>
          <w:szCs w:val="20"/>
        </w:rPr>
      </w:pPr>
      <w:r w:rsidRPr="00721567">
        <w:rPr>
          <w:rFonts w:cs="Times New Roman"/>
          <w:color w:val="auto"/>
          <w:sz w:val="20"/>
          <w:szCs w:val="20"/>
        </w:rPr>
        <w:t xml:space="preserve">Related security.    </w:t>
      </w:r>
    </w:p>
    <w:p w:rsidR="00CA5AD6" w:rsidRPr="00721567" w:rsidRDefault="00CA5AD6" w:rsidP="00651D87">
      <w:pPr>
        <w:widowControl/>
        <w:spacing w:line="360" w:lineRule="auto"/>
        <w:rPr>
          <w:sz w:val="20"/>
        </w:rPr>
      </w:pPr>
      <w:r w:rsidRPr="00721567">
        <w:rPr>
          <w:sz w:val="20"/>
        </w:rPr>
        <w:t xml:space="preserve">Currently, vendors providing eNotary solutions </w:t>
      </w:r>
      <w:r w:rsidR="00024C70" w:rsidRPr="00721567">
        <w:rPr>
          <w:sz w:val="20"/>
        </w:rPr>
        <w:t xml:space="preserve">must </w:t>
      </w:r>
      <w:r w:rsidRPr="00721567">
        <w:rPr>
          <w:sz w:val="20"/>
        </w:rPr>
        <w:t xml:space="preserve">contract </w:t>
      </w:r>
      <w:r w:rsidR="00024C70" w:rsidRPr="00721567">
        <w:rPr>
          <w:sz w:val="20"/>
        </w:rPr>
        <w:t xml:space="preserve">directly </w:t>
      </w:r>
      <w:r w:rsidRPr="00721567">
        <w:rPr>
          <w:sz w:val="20"/>
        </w:rPr>
        <w:t xml:space="preserve">with eNotaries commissioned by the Secretary.  The Agency suspects employers that are not the RENP may wish </w:t>
      </w:r>
      <w:r w:rsidR="00024C70" w:rsidRPr="00721567">
        <w:rPr>
          <w:sz w:val="20"/>
        </w:rPr>
        <w:t xml:space="preserve">for business reasons </w:t>
      </w:r>
      <w:r w:rsidRPr="00721567">
        <w:rPr>
          <w:sz w:val="20"/>
        </w:rPr>
        <w:t>to license a platform directly with vendors.  If the license is directly between the vendor and the employer who is not the commissioned RENP, issues may arise that prevent the RENP from meeting their statutory obligations.  The employer is very likely to wish to make decisions regarding vendor selection and security, for example.  The vendor is most likely to communicate directly with the employer licensee paying for the platform rather than the RENP.</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Such arrangements have the potential to leave the RENP uninformed about significant changes to the platform integrity.  For example, the vendor will typically contact the employer licensee directly, not the RENP</w:t>
      </w:r>
      <w:r w:rsidR="0028636C" w:rsidRPr="00721567">
        <w:rPr>
          <w:sz w:val="20"/>
        </w:rPr>
        <w:t xml:space="preserve"> user</w:t>
      </w:r>
      <w:r w:rsidRPr="00721567">
        <w:rPr>
          <w:sz w:val="20"/>
        </w:rPr>
        <w:t>, when:</w:t>
      </w:r>
    </w:p>
    <w:p w:rsidR="00CA5AD6" w:rsidRPr="00721567" w:rsidRDefault="00CA5AD6" w:rsidP="00B86B38">
      <w:pPr>
        <w:pStyle w:val="ListParagraph"/>
        <w:numPr>
          <w:ilvl w:val="0"/>
          <w:numId w:val="21"/>
        </w:numPr>
        <w:tabs>
          <w:tab w:val="left" w:pos="990"/>
          <w:tab w:val="left" w:pos="1080"/>
        </w:tabs>
        <w:spacing w:line="360" w:lineRule="auto"/>
        <w:ind w:firstLine="0"/>
        <w:rPr>
          <w:rFonts w:cs="Times New Roman"/>
          <w:color w:val="auto"/>
          <w:sz w:val="20"/>
          <w:szCs w:val="20"/>
        </w:rPr>
      </w:pPr>
      <w:r w:rsidRPr="00721567">
        <w:rPr>
          <w:rFonts w:cs="Times New Roman"/>
          <w:color w:val="auto"/>
          <w:sz w:val="20"/>
          <w:szCs w:val="20"/>
        </w:rPr>
        <w:t>The vendor will no longer provide technical support or updates to the platform,</w:t>
      </w:r>
    </w:p>
    <w:p w:rsidR="00CA5AD6" w:rsidRPr="00721567" w:rsidRDefault="00CA5AD6" w:rsidP="00B86B38">
      <w:pPr>
        <w:pStyle w:val="ListParagraph"/>
        <w:numPr>
          <w:ilvl w:val="0"/>
          <w:numId w:val="21"/>
        </w:numPr>
        <w:tabs>
          <w:tab w:val="left" w:pos="990"/>
          <w:tab w:val="left" w:pos="1080"/>
        </w:tabs>
        <w:spacing w:line="360" w:lineRule="auto"/>
        <w:ind w:firstLine="0"/>
        <w:rPr>
          <w:rFonts w:cs="Times New Roman"/>
          <w:color w:val="auto"/>
          <w:sz w:val="20"/>
          <w:szCs w:val="20"/>
        </w:rPr>
      </w:pPr>
      <w:r w:rsidRPr="00721567">
        <w:rPr>
          <w:rFonts w:cs="Times New Roman"/>
          <w:color w:val="auto"/>
          <w:sz w:val="20"/>
          <w:szCs w:val="20"/>
        </w:rPr>
        <w:t>There are data breaches and similar issues, or</w:t>
      </w:r>
    </w:p>
    <w:p w:rsidR="00CA5AD6" w:rsidRPr="00721567" w:rsidRDefault="00CA5AD6" w:rsidP="00B86B38">
      <w:pPr>
        <w:pStyle w:val="ListParagraph"/>
        <w:numPr>
          <w:ilvl w:val="0"/>
          <w:numId w:val="21"/>
        </w:numPr>
        <w:tabs>
          <w:tab w:val="left" w:pos="990"/>
          <w:tab w:val="left" w:pos="1080"/>
        </w:tabs>
        <w:spacing w:line="360" w:lineRule="auto"/>
        <w:ind w:firstLine="0"/>
        <w:rPr>
          <w:rFonts w:cs="Times New Roman"/>
          <w:color w:val="auto"/>
          <w:sz w:val="20"/>
          <w:szCs w:val="20"/>
        </w:rPr>
      </w:pPr>
      <w:r w:rsidRPr="00721567">
        <w:rPr>
          <w:rFonts w:cs="Times New Roman"/>
          <w:color w:val="auto"/>
          <w:sz w:val="20"/>
          <w:szCs w:val="20"/>
        </w:rPr>
        <w:t xml:space="preserve">If the vendor </w:t>
      </w:r>
      <w:r w:rsidR="007D1F72" w:rsidRPr="00721567">
        <w:rPr>
          <w:rFonts w:cs="Times New Roman"/>
          <w:color w:val="auto"/>
          <w:sz w:val="20"/>
          <w:szCs w:val="20"/>
        </w:rPr>
        <w:t>will no longer provide the platform</w:t>
      </w:r>
      <w:r w:rsidRPr="00721567">
        <w:rPr>
          <w:rFonts w:cs="Times New Roman"/>
          <w:color w:val="auto"/>
          <w:sz w:val="20"/>
          <w:szCs w:val="20"/>
        </w:rPr>
        <w:t>.</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If the vendor does not directly communicate with the RENP, faithful discharge of the RENP</w:t>
      </w:r>
      <w:r w:rsidR="00E86B13" w:rsidRPr="00721567">
        <w:rPr>
          <w:sz w:val="20"/>
        </w:rPr>
        <w:t>’</w:t>
      </w:r>
      <w:r w:rsidRPr="00721567">
        <w:rPr>
          <w:sz w:val="20"/>
        </w:rPr>
        <w:t xml:space="preserve">s statutory duties may become </w:t>
      </w:r>
      <w:r w:rsidR="007D1F72" w:rsidRPr="00721567">
        <w:rPr>
          <w:sz w:val="20"/>
        </w:rPr>
        <w:t>compromised</w:t>
      </w:r>
      <w:r w:rsidRPr="00721567">
        <w:rPr>
          <w:sz w:val="20"/>
        </w:rPr>
        <w:t>.  For example, the RENP may not be able to:</w:t>
      </w:r>
    </w:p>
    <w:p w:rsidR="00CA5AD6" w:rsidRPr="00721567" w:rsidRDefault="00CA5AD6" w:rsidP="00B86B38">
      <w:pPr>
        <w:pStyle w:val="ListParagraph"/>
        <w:numPr>
          <w:ilvl w:val="0"/>
          <w:numId w:val="22"/>
        </w:numPr>
        <w:tabs>
          <w:tab w:val="left" w:pos="990"/>
        </w:tabs>
        <w:spacing w:line="360" w:lineRule="auto"/>
        <w:ind w:firstLine="0"/>
        <w:rPr>
          <w:rFonts w:cs="Times New Roman"/>
          <w:color w:val="auto"/>
          <w:sz w:val="20"/>
          <w:szCs w:val="20"/>
        </w:rPr>
      </w:pPr>
      <w:r w:rsidRPr="00721567">
        <w:rPr>
          <w:rFonts w:cs="Times New Roman"/>
          <w:color w:val="auto"/>
          <w:sz w:val="20"/>
          <w:szCs w:val="20"/>
        </w:rPr>
        <w:t>Select the platform,</w:t>
      </w:r>
      <w:r w:rsidR="00B86254" w:rsidRPr="00721567">
        <w:rPr>
          <w:rStyle w:val="FootnoteReference"/>
          <w:rFonts w:cs="Times New Roman"/>
          <w:color w:val="auto"/>
          <w:sz w:val="20"/>
          <w:szCs w:val="20"/>
          <w:vertAlign w:val="superscript"/>
        </w:rPr>
        <w:footnoteReference w:id="31"/>
      </w:r>
      <w:r w:rsidRPr="00721567">
        <w:rPr>
          <w:rFonts w:cs="Times New Roman"/>
          <w:color w:val="auto"/>
          <w:sz w:val="20"/>
          <w:szCs w:val="20"/>
          <w:vertAlign w:val="superscript"/>
        </w:rPr>
        <w:t xml:space="preserve"> </w:t>
      </w:r>
    </w:p>
    <w:p w:rsidR="00CA5AD6" w:rsidRPr="00721567" w:rsidRDefault="00CA5AD6" w:rsidP="00B86B38">
      <w:pPr>
        <w:pStyle w:val="ListParagraph"/>
        <w:numPr>
          <w:ilvl w:val="0"/>
          <w:numId w:val="22"/>
        </w:numPr>
        <w:tabs>
          <w:tab w:val="left" w:pos="990"/>
        </w:tabs>
        <w:spacing w:line="360" w:lineRule="auto"/>
        <w:ind w:firstLine="0"/>
        <w:rPr>
          <w:rFonts w:cs="Times New Roman"/>
          <w:color w:val="auto"/>
          <w:sz w:val="20"/>
          <w:szCs w:val="20"/>
        </w:rPr>
      </w:pPr>
      <w:r w:rsidRPr="00721567">
        <w:rPr>
          <w:rFonts w:cs="Times New Roman"/>
          <w:color w:val="auto"/>
          <w:sz w:val="20"/>
          <w:szCs w:val="20"/>
        </w:rPr>
        <w:t>Maintain exclusive control of the electronic journal,</w:t>
      </w:r>
      <w:r w:rsidR="00B86254" w:rsidRPr="00721567">
        <w:rPr>
          <w:rStyle w:val="FootnoteReference"/>
          <w:rFonts w:cs="Times New Roman"/>
          <w:color w:val="auto"/>
          <w:sz w:val="20"/>
          <w:szCs w:val="20"/>
          <w:vertAlign w:val="superscript"/>
        </w:rPr>
        <w:footnoteReference w:id="32"/>
      </w:r>
      <w:r w:rsidRPr="00721567">
        <w:rPr>
          <w:rFonts w:cs="Times New Roman"/>
          <w:color w:val="auto"/>
          <w:sz w:val="20"/>
          <w:szCs w:val="20"/>
        </w:rPr>
        <w:t xml:space="preserve"> or</w:t>
      </w:r>
    </w:p>
    <w:p w:rsidR="00CA5AD6" w:rsidRPr="00721567" w:rsidRDefault="00CA5AD6" w:rsidP="00B86B38">
      <w:pPr>
        <w:pStyle w:val="ListParagraph"/>
        <w:numPr>
          <w:ilvl w:val="0"/>
          <w:numId w:val="22"/>
        </w:numPr>
        <w:tabs>
          <w:tab w:val="left" w:pos="990"/>
        </w:tabs>
        <w:spacing w:line="360" w:lineRule="auto"/>
        <w:ind w:firstLine="0"/>
        <w:rPr>
          <w:rFonts w:cs="Times New Roman"/>
          <w:color w:val="auto"/>
          <w:sz w:val="20"/>
          <w:szCs w:val="20"/>
        </w:rPr>
      </w:pPr>
      <w:r w:rsidRPr="00721567">
        <w:rPr>
          <w:rFonts w:cs="Times New Roman"/>
          <w:color w:val="auto"/>
          <w:sz w:val="20"/>
          <w:szCs w:val="20"/>
        </w:rPr>
        <w:t>Report security breaches in a timely fashion.</w:t>
      </w:r>
      <w:r w:rsidR="00726295" w:rsidRPr="00721567">
        <w:rPr>
          <w:rStyle w:val="FootnoteReference"/>
          <w:rFonts w:cs="Times New Roman"/>
          <w:color w:val="auto"/>
          <w:sz w:val="20"/>
          <w:szCs w:val="20"/>
          <w:vertAlign w:val="superscript"/>
        </w:rPr>
        <w:footnoteReference w:id="33"/>
      </w:r>
      <w:r w:rsidRPr="00721567">
        <w:rPr>
          <w:rFonts w:cs="Times New Roman"/>
          <w:color w:val="auto"/>
          <w:sz w:val="20"/>
          <w:szCs w:val="20"/>
        </w:rPr>
        <w:t xml:space="preserve"> </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 xml:space="preserve">The Secretary must ensure that there is direct communication between the platform vendor and the RENP, even if the RENP is not the platform licensee.  The RENP will need direct access to the platform vendor because the RENP will quickly need to know directly from the vendor if:  </w:t>
      </w:r>
    </w:p>
    <w:p w:rsidR="00CA5AD6" w:rsidRPr="00721567" w:rsidRDefault="00CA5AD6" w:rsidP="00B86B38">
      <w:pPr>
        <w:pStyle w:val="ListParagraph"/>
        <w:numPr>
          <w:ilvl w:val="0"/>
          <w:numId w:val="23"/>
        </w:numPr>
        <w:tabs>
          <w:tab w:val="left" w:pos="990"/>
        </w:tabs>
        <w:spacing w:line="360" w:lineRule="auto"/>
        <w:ind w:firstLine="0"/>
        <w:rPr>
          <w:rFonts w:cs="Times New Roman"/>
          <w:color w:val="auto"/>
          <w:sz w:val="20"/>
          <w:szCs w:val="20"/>
        </w:rPr>
      </w:pPr>
      <w:r w:rsidRPr="00721567">
        <w:rPr>
          <w:rFonts w:cs="Times New Roman"/>
          <w:color w:val="auto"/>
          <w:sz w:val="20"/>
          <w:szCs w:val="20"/>
        </w:rPr>
        <w:t>There is unauthorized interception of a REN;</w:t>
      </w:r>
      <w:r w:rsidR="004E322B" w:rsidRPr="00721567">
        <w:rPr>
          <w:rStyle w:val="FootnoteReference"/>
          <w:rFonts w:cs="Times New Roman"/>
          <w:color w:val="auto"/>
          <w:sz w:val="20"/>
          <w:szCs w:val="20"/>
          <w:vertAlign w:val="superscript"/>
        </w:rPr>
        <w:footnoteReference w:id="34"/>
      </w:r>
    </w:p>
    <w:p w:rsidR="00CA5AD6" w:rsidRPr="00721567" w:rsidRDefault="00CA5AD6" w:rsidP="00B86B38">
      <w:pPr>
        <w:pStyle w:val="ListParagraph"/>
        <w:numPr>
          <w:ilvl w:val="0"/>
          <w:numId w:val="23"/>
        </w:numPr>
        <w:tabs>
          <w:tab w:val="left" w:pos="990"/>
        </w:tabs>
        <w:spacing w:line="360" w:lineRule="auto"/>
        <w:ind w:firstLine="0"/>
        <w:rPr>
          <w:rFonts w:cs="Times New Roman"/>
          <w:color w:val="auto"/>
          <w:sz w:val="20"/>
          <w:szCs w:val="20"/>
        </w:rPr>
      </w:pPr>
      <w:r w:rsidRPr="00721567">
        <w:rPr>
          <w:rFonts w:cs="Times New Roman"/>
          <w:color w:val="auto"/>
          <w:sz w:val="20"/>
          <w:szCs w:val="20"/>
        </w:rPr>
        <w:t>There is theft, tampering, vandalism, or compromise of the security of the electronic journal and CT Recording;</w:t>
      </w:r>
      <w:r w:rsidR="004E322B" w:rsidRPr="00721567">
        <w:rPr>
          <w:rStyle w:val="FootnoteReference"/>
          <w:rFonts w:cs="Times New Roman"/>
          <w:color w:val="auto"/>
          <w:sz w:val="20"/>
          <w:szCs w:val="20"/>
          <w:vertAlign w:val="superscript"/>
        </w:rPr>
        <w:footnoteReference w:id="35"/>
      </w:r>
      <w:r w:rsidRPr="00721567">
        <w:rPr>
          <w:rFonts w:cs="Times New Roman"/>
          <w:color w:val="auto"/>
          <w:sz w:val="20"/>
          <w:szCs w:val="20"/>
        </w:rPr>
        <w:t xml:space="preserve">  </w:t>
      </w:r>
    </w:p>
    <w:p w:rsidR="00CA5AD6" w:rsidRPr="00721567" w:rsidRDefault="00CA5AD6" w:rsidP="00B86B38">
      <w:pPr>
        <w:pStyle w:val="ListParagraph"/>
        <w:numPr>
          <w:ilvl w:val="0"/>
          <w:numId w:val="23"/>
        </w:numPr>
        <w:tabs>
          <w:tab w:val="left" w:pos="990"/>
        </w:tabs>
        <w:spacing w:line="360" w:lineRule="auto"/>
        <w:ind w:firstLine="0"/>
        <w:rPr>
          <w:rFonts w:cs="Times New Roman"/>
          <w:color w:val="auto"/>
          <w:sz w:val="20"/>
          <w:szCs w:val="20"/>
        </w:rPr>
      </w:pPr>
      <w:r w:rsidRPr="00721567">
        <w:rPr>
          <w:rFonts w:cs="Times New Roman"/>
          <w:color w:val="auto"/>
          <w:sz w:val="20"/>
          <w:szCs w:val="20"/>
        </w:rPr>
        <w:lastRenderedPageBreak/>
        <w:t>The RENP needs to obtain proof from a vendor that an issue was on the vendor</w:t>
      </w:r>
      <w:r w:rsidR="00E86B13" w:rsidRPr="00721567">
        <w:rPr>
          <w:rFonts w:cs="Times New Roman"/>
          <w:color w:val="auto"/>
          <w:sz w:val="20"/>
          <w:szCs w:val="20"/>
        </w:rPr>
        <w:t>’</w:t>
      </w:r>
      <w:r w:rsidRPr="00721567">
        <w:rPr>
          <w:rFonts w:cs="Times New Roman"/>
          <w:color w:val="auto"/>
          <w:sz w:val="20"/>
          <w:szCs w:val="20"/>
        </w:rPr>
        <w:t>s side of the technology, not that of the RENP;</w:t>
      </w:r>
      <w:r w:rsidR="004E322B" w:rsidRPr="00721567">
        <w:rPr>
          <w:rStyle w:val="FootnoteReference"/>
          <w:rFonts w:cs="Times New Roman"/>
          <w:color w:val="auto"/>
          <w:sz w:val="20"/>
          <w:szCs w:val="20"/>
          <w:vertAlign w:val="superscript"/>
        </w:rPr>
        <w:footnoteReference w:id="36"/>
      </w:r>
      <w:r w:rsidRPr="00721567">
        <w:rPr>
          <w:rFonts w:cs="Times New Roman"/>
          <w:color w:val="auto"/>
          <w:sz w:val="20"/>
          <w:szCs w:val="20"/>
        </w:rPr>
        <w:t xml:space="preserve"> and  </w:t>
      </w:r>
    </w:p>
    <w:p w:rsidR="00CA5AD6" w:rsidRDefault="00CA5AD6" w:rsidP="00B86B38">
      <w:pPr>
        <w:pStyle w:val="ListParagraph"/>
        <w:numPr>
          <w:ilvl w:val="0"/>
          <w:numId w:val="23"/>
        </w:numPr>
        <w:tabs>
          <w:tab w:val="left" w:pos="990"/>
        </w:tabs>
        <w:spacing w:line="360" w:lineRule="auto"/>
        <w:ind w:firstLine="0"/>
        <w:rPr>
          <w:rFonts w:cs="Times New Roman"/>
          <w:color w:val="auto"/>
          <w:sz w:val="20"/>
          <w:szCs w:val="20"/>
        </w:rPr>
      </w:pPr>
      <w:r w:rsidRPr="00721567">
        <w:rPr>
          <w:rFonts w:cs="Times New Roman"/>
          <w:color w:val="auto"/>
          <w:sz w:val="20"/>
          <w:szCs w:val="20"/>
        </w:rPr>
        <w:t>The RENP needs technical support when issues arise during a REN transaction.</w:t>
      </w:r>
    </w:p>
    <w:p w:rsidR="00CF5EDE" w:rsidRPr="00721567" w:rsidRDefault="00CF5EDE" w:rsidP="00CF5EDE">
      <w:pPr>
        <w:pStyle w:val="ListParagraph"/>
        <w:tabs>
          <w:tab w:val="left" w:pos="990"/>
        </w:tabs>
        <w:spacing w:line="360" w:lineRule="auto"/>
        <w:rPr>
          <w:rFonts w:cs="Times New Roman"/>
          <w:color w:val="auto"/>
          <w:sz w:val="20"/>
          <w:szCs w:val="20"/>
        </w:rPr>
      </w:pPr>
    </w:p>
    <w:p w:rsidR="00CA5AD6" w:rsidRPr="00721567" w:rsidRDefault="00CA5AD6" w:rsidP="00651D87">
      <w:pPr>
        <w:widowControl/>
        <w:spacing w:line="360" w:lineRule="auto"/>
        <w:rPr>
          <w:b/>
          <w:sz w:val="20"/>
        </w:rPr>
      </w:pPr>
      <w:r w:rsidRPr="00721567">
        <w:rPr>
          <w:sz w:val="20"/>
        </w:rPr>
        <w:t xml:space="preserve">Specific provisions in the vendor-employer contract or in rules adopted by the Secretary might </w:t>
      </w:r>
      <w:r w:rsidR="00244D02">
        <w:rPr>
          <w:sz w:val="20"/>
        </w:rPr>
        <w:t>help</w:t>
      </w:r>
      <w:r w:rsidRPr="00721567">
        <w:rPr>
          <w:sz w:val="20"/>
        </w:rPr>
        <w:t xml:space="preserve"> the RENP </w:t>
      </w:r>
      <w:r w:rsidR="00250EBF">
        <w:rPr>
          <w:sz w:val="20"/>
        </w:rPr>
        <w:t>c</w:t>
      </w:r>
      <w:r w:rsidRPr="00721567">
        <w:rPr>
          <w:sz w:val="20"/>
        </w:rPr>
        <w:t>omply with the law.</w:t>
      </w:r>
    </w:p>
    <w:p w:rsidR="00CA5AD6" w:rsidRPr="00721567" w:rsidRDefault="00CA5AD6" w:rsidP="00651D87">
      <w:pPr>
        <w:widowControl/>
        <w:spacing w:line="360" w:lineRule="auto"/>
        <w:rPr>
          <w:b/>
          <w:sz w:val="20"/>
        </w:rPr>
      </w:pPr>
    </w:p>
    <w:p w:rsidR="00BC4D2F" w:rsidRPr="00721567" w:rsidRDefault="00BC4D2F" w:rsidP="00651D87">
      <w:pPr>
        <w:widowControl/>
        <w:spacing w:line="360" w:lineRule="auto"/>
        <w:rPr>
          <w:sz w:val="20"/>
        </w:rPr>
      </w:pPr>
      <w:r w:rsidRPr="00721567">
        <w:rPr>
          <w:sz w:val="20"/>
        </w:rPr>
        <w:t>Moreover, an RENP who terminates employment is required to retain the electronic journal and CT Recording.</w:t>
      </w:r>
      <w:r w:rsidRPr="00721567">
        <w:rPr>
          <w:rStyle w:val="FootnoteReference"/>
          <w:sz w:val="20"/>
          <w:vertAlign w:val="superscript"/>
        </w:rPr>
        <w:footnoteReference w:id="37"/>
      </w:r>
      <w:r w:rsidRPr="00721567">
        <w:rPr>
          <w:sz w:val="20"/>
        </w:rPr>
        <w:t xml:space="preserve">  The RENP may not surrender or destroy either except as directed by a court order or a rule adopted by the Secretary.</w:t>
      </w:r>
      <w:r w:rsidRPr="00721567">
        <w:rPr>
          <w:rStyle w:val="FootnoteReference"/>
          <w:sz w:val="20"/>
          <w:vertAlign w:val="superscript"/>
        </w:rPr>
        <w:footnoteReference w:id="38"/>
      </w:r>
      <w:r w:rsidRPr="00721567">
        <w:rPr>
          <w:sz w:val="20"/>
        </w:rPr>
        <w:t xml:space="preserve">  If the RENP is the licensee</w:t>
      </w:r>
      <w:r w:rsidR="00B2303F">
        <w:rPr>
          <w:sz w:val="20"/>
        </w:rPr>
        <w:t xml:space="preserve"> of the platform</w:t>
      </w:r>
      <w:r w:rsidRPr="00721567">
        <w:rPr>
          <w:sz w:val="20"/>
        </w:rPr>
        <w:t xml:space="preserve">, then the RENP will have access to both the electronic journal and CT Recording after leaving the employer.  But if the RENP is not the platform licensee, it is unlikely that the RENP will have continuing access to the electronic journal and CT Recording.  Specific provisions in the vendor-employer contract or rules adopted by the Secretary might </w:t>
      </w:r>
      <w:r w:rsidR="00B2303F">
        <w:rPr>
          <w:sz w:val="20"/>
        </w:rPr>
        <w:t xml:space="preserve">help </w:t>
      </w:r>
      <w:r w:rsidRPr="00721567">
        <w:rPr>
          <w:sz w:val="20"/>
        </w:rPr>
        <w:t xml:space="preserve">the RENP </w:t>
      </w:r>
      <w:r w:rsidR="00B2303F">
        <w:rPr>
          <w:sz w:val="20"/>
        </w:rPr>
        <w:t xml:space="preserve">perform those </w:t>
      </w:r>
      <w:r w:rsidRPr="00721567">
        <w:rPr>
          <w:sz w:val="20"/>
        </w:rPr>
        <w:t>obligation</w:t>
      </w:r>
      <w:r w:rsidR="00B2303F">
        <w:rPr>
          <w:sz w:val="20"/>
        </w:rPr>
        <w:t>s</w:t>
      </w:r>
      <w:r w:rsidRPr="00721567" w:rsidDel="006C00A7">
        <w:rPr>
          <w:sz w:val="20"/>
        </w:rPr>
        <w:t xml:space="preserve"> </w:t>
      </w:r>
      <w:r w:rsidR="00B2303F">
        <w:rPr>
          <w:sz w:val="20"/>
        </w:rPr>
        <w:t>arising under RENA</w:t>
      </w:r>
      <w:r w:rsidRPr="00721567">
        <w:rPr>
          <w:sz w:val="20"/>
        </w:rPr>
        <w:t>.</w:t>
      </w:r>
    </w:p>
    <w:p w:rsidR="00BC4D2F" w:rsidRPr="00721567" w:rsidRDefault="00BC4D2F" w:rsidP="00651D87">
      <w:pPr>
        <w:widowControl/>
        <w:spacing w:line="360" w:lineRule="auto"/>
        <w:rPr>
          <w:sz w:val="20"/>
        </w:rPr>
      </w:pPr>
    </w:p>
    <w:p w:rsidR="00BC4D2F" w:rsidRPr="00721567" w:rsidRDefault="00BC4D2F" w:rsidP="00651D87">
      <w:pPr>
        <w:widowControl/>
        <w:spacing w:line="360" w:lineRule="auto"/>
        <w:rPr>
          <w:sz w:val="20"/>
        </w:rPr>
      </w:pPr>
      <w:r w:rsidRPr="00721567">
        <w:rPr>
          <w:sz w:val="20"/>
        </w:rPr>
        <w:t xml:space="preserve">The employer does not have the authority to require the RENP to provide the original electronic journal to the employer when the RENP leaves that employment.  The RENP may nonetheless choose to allow the employer to have the original electronic journal upon termination of employment.  In that case, the RENP must maintain backup copies.  Whether the RENP may also allow the employer to have </w:t>
      </w:r>
      <w:r w:rsidR="00B2303F">
        <w:rPr>
          <w:sz w:val="20"/>
        </w:rPr>
        <w:t xml:space="preserve">access to </w:t>
      </w:r>
      <w:r w:rsidRPr="00721567">
        <w:rPr>
          <w:sz w:val="20"/>
        </w:rPr>
        <w:t>the CT Recording is unclear from the statute.</w:t>
      </w:r>
      <w:r w:rsidRPr="00721567">
        <w:rPr>
          <w:rStyle w:val="FootnoteReference"/>
          <w:sz w:val="20"/>
          <w:vertAlign w:val="superscript"/>
        </w:rPr>
        <w:footnoteReference w:id="39"/>
      </w:r>
      <w:r w:rsidRPr="00721567">
        <w:rPr>
          <w:rStyle w:val="FootnoteReference"/>
          <w:sz w:val="20"/>
          <w:vertAlign w:val="superscript"/>
        </w:rPr>
        <w:t xml:space="preserve"> </w:t>
      </w:r>
    </w:p>
    <w:p w:rsidR="00BC4D2F" w:rsidRPr="00721567" w:rsidRDefault="00BC4D2F" w:rsidP="00651D87">
      <w:pPr>
        <w:widowControl/>
        <w:spacing w:line="360" w:lineRule="auto"/>
        <w:rPr>
          <w:sz w:val="20"/>
        </w:rPr>
      </w:pPr>
    </w:p>
    <w:p w:rsidR="00EF1FC7" w:rsidRPr="00721567" w:rsidRDefault="00CF1235" w:rsidP="00651D87">
      <w:pPr>
        <w:widowControl/>
        <w:spacing w:line="360" w:lineRule="auto"/>
        <w:rPr>
          <w:sz w:val="20"/>
        </w:rPr>
      </w:pPr>
      <w:r w:rsidRPr="00721567">
        <w:rPr>
          <w:sz w:val="20"/>
        </w:rPr>
        <w:t xml:space="preserve">In addition to the employment separation described above, </w:t>
      </w:r>
      <w:r w:rsidR="00EF1FC7" w:rsidRPr="00721567">
        <w:rPr>
          <w:sz w:val="20"/>
        </w:rPr>
        <w:t>RENA allows the RENP to surrender or destroy the electronic journal or CT Recording upon receipt of a court order, or in accordance with rules adopted by the Secretary.</w:t>
      </w:r>
      <w:r w:rsidR="00EF1FC7" w:rsidRPr="00721567">
        <w:rPr>
          <w:rStyle w:val="FootnoteReference"/>
          <w:sz w:val="20"/>
          <w:vertAlign w:val="superscript"/>
        </w:rPr>
        <w:footnoteReference w:id="40"/>
      </w:r>
      <w:r w:rsidR="00EF1FC7" w:rsidRPr="00721567">
        <w:rPr>
          <w:sz w:val="20"/>
          <w:vertAlign w:val="superscript"/>
        </w:rPr>
        <w:t xml:space="preserve"> </w:t>
      </w:r>
      <w:r w:rsidR="00EF1FC7" w:rsidRPr="00721567">
        <w:rPr>
          <w:sz w:val="20"/>
        </w:rPr>
        <w:t xml:space="preserve"> RENA provides no guidance into </w:t>
      </w:r>
      <w:r w:rsidRPr="00721567">
        <w:rPr>
          <w:sz w:val="20"/>
        </w:rPr>
        <w:t xml:space="preserve">additional </w:t>
      </w:r>
      <w:r w:rsidR="00EF1FC7" w:rsidRPr="00721567">
        <w:rPr>
          <w:sz w:val="20"/>
        </w:rPr>
        <w:t xml:space="preserve">circumstances </w:t>
      </w:r>
      <w:r w:rsidRPr="00721567">
        <w:rPr>
          <w:sz w:val="20"/>
        </w:rPr>
        <w:t xml:space="preserve">under which rules might permit </w:t>
      </w:r>
      <w:r w:rsidR="00EF1FC7" w:rsidRPr="00721567">
        <w:rPr>
          <w:sz w:val="20"/>
        </w:rPr>
        <w:t xml:space="preserve">surrender or destruction, or </w:t>
      </w:r>
      <w:r w:rsidRPr="00721567">
        <w:rPr>
          <w:sz w:val="20"/>
        </w:rPr>
        <w:t xml:space="preserve">additional </w:t>
      </w:r>
      <w:r w:rsidR="00EF1FC7" w:rsidRPr="00721567">
        <w:rPr>
          <w:sz w:val="20"/>
        </w:rPr>
        <w:t xml:space="preserve">persons to whom </w:t>
      </w:r>
      <w:r w:rsidR="00FB258A" w:rsidRPr="00721567">
        <w:rPr>
          <w:sz w:val="20"/>
        </w:rPr>
        <w:t xml:space="preserve">rules might permit surrender of </w:t>
      </w:r>
      <w:r w:rsidR="00EF1FC7" w:rsidRPr="00721567">
        <w:rPr>
          <w:sz w:val="20"/>
        </w:rPr>
        <w:t>the electronic journal or CT Recordings.</w:t>
      </w:r>
    </w:p>
    <w:p w:rsidR="00EF1FC7" w:rsidRPr="00721567" w:rsidRDefault="00EF1FC7" w:rsidP="00651D87">
      <w:pPr>
        <w:widowControl/>
        <w:spacing w:line="360" w:lineRule="auto"/>
        <w:rPr>
          <w:sz w:val="20"/>
        </w:rPr>
      </w:pPr>
    </w:p>
    <w:p w:rsidR="00CA5AD6" w:rsidRPr="00721567" w:rsidRDefault="00CA5AD6" w:rsidP="00651D87">
      <w:pPr>
        <w:widowControl/>
        <w:spacing w:line="360" w:lineRule="auto"/>
        <w:rPr>
          <w:sz w:val="20"/>
        </w:rPr>
      </w:pPr>
      <w:r w:rsidRPr="008E6E64">
        <w:rPr>
          <w:sz w:val="20"/>
        </w:rPr>
        <w:t>In light of the discussion above, the Agency requests comment on the following topics:</w:t>
      </w:r>
    </w:p>
    <w:p w:rsidR="00CA5AD6" w:rsidRPr="00721567" w:rsidRDefault="00CA5AD6" w:rsidP="00651D87">
      <w:pPr>
        <w:widowControl/>
        <w:spacing w:line="360" w:lineRule="auto"/>
        <w:rPr>
          <w:sz w:val="20"/>
        </w:rPr>
      </w:pPr>
      <w:r w:rsidRPr="00721567">
        <w:rPr>
          <w:b/>
          <w:sz w:val="20"/>
        </w:rPr>
        <w:t xml:space="preserve">Question D.1: </w:t>
      </w:r>
      <w:r w:rsidRPr="00721567">
        <w:rPr>
          <w:sz w:val="20"/>
        </w:rPr>
        <w:t xml:space="preserve"> </w:t>
      </w:r>
      <w:r w:rsidR="00F70148">
        <w:rPr>
          <w:sz w:val="20"/>
        </w:rPr>
        <w:t>S</w:t>
      </w:r>
      <w:r w:rsidRPr="00721567">
        <w:rPr>
          <w:sz w:val="20"/>
        </w:rPr>
        <w:t xml:space="preserve">hould the Agency provide that platform vendors must contract exclusively with RENPs commissioned by the Secretary? </w:t>
      </w:r>
      <w:r w:rsidRPr="00721567">
        <w:rPr>
          <w:i/>
          <w:sz w:val="20"/>
        </w:rPr>
        <w:t xml:space="preserve">See, </w:t>
      </w:r>
      <w:r w:rsidR="00EF1FC7" w:rsidRPr="00721567">
        <w:rPr>
          <w:i/>
          <w:sz w:val="20"/>
        </w:rPr>
        <w:t>e</w:t>
      </w:r>
      <w:r w:rsidRPr="00721567">
        <w:rPr>
          <w:i/>
          <w:sz w:val="20"/>
        </w:rPr>
        <w:t>.g</w:t>
      </w:r>
      <w:r w:rsidRPr="00721567">
        <w:rPr>
          <w:sz w:val="20"/>
        </w:rPr>
        <w:t>., 18 NCAC 07C .0502(5).</w:t>
      </w:r>
    </w:p>
    <w:p w:rsidR="00CA5AD6" w:rsidRPr="00721567" w:rsidRDefault="00CA5AD6" w:rsidP="00651D87">
      <w:pPr>
        <w:widowControl/>
        <w:spacing w:line="360" w:lineRule="auto"/>
        <w:rPr>
          <w:sz w:val="20"/>
        </w:rPr>
      </w:pPr>
      <w:r w:rsidRPr="00721567">
        <w:rPr>
          <w:b/>
          <w:sz w:val="20"/>
        </w:rPr>
        <w:t>Question D.2:</w:t>
      </w:r>
      <w:r w:rsidRPr="00721567">
        <w:rPr>
          <w:sz w:val="20"/>
        </w:rPr>
        <w:t xml:space="preserve">  </w:t>
      </w:r>
      <w:r w:rsidR="00F70148">
        <w:rPr>
          <w:sz w:val="20"/>
        </w:rPr>
        <w:t>I</w:t>
      </w:r>
      <w:r w:rsidRPr="00721567">
        <w:rPr>
          <w:sz w:val="20"/>
        </w:rPr>
        <w:t xml:space="preserve">f the rules were to permit a platform vendor to contract with parties other than RENPs commissioned by the Secretary, how should the rules ensure that the vendor communicates appropriately with the RENP?    </w:t>
      </w:r>
    </w:p>
    <w:p w:rsidR="00CA5AD6" w:rsidRPr="00721567" w:rsidRDefault="00CA5AD6" w:rsidP="003A1738">
      <w:pPr>
        <w:keepNext/>
        <w:widowControl/>
        <w:spacing w:line="360" w:lineRule="auto"/>
        <w:rPr>
          <w:sz w:val="20"/>
        </w:rPr>
      </w:pPr>
      <w:r w:rsidRPr="00721567">
        <w:rPr>
          <w:b/>
          <w:sz w:val="20"/>
        </w:rPr>
        <w:lastRenderedPageBreak/>
        <w:t>Question D.3:</w:t>
      </w:r>
      <w:r w:rsidR="00DA1F73">
        <w:rPr>
          <w:sz w:val="20"/>
        </w:rPr>
        <w:t xml:space="preserve">  </w:t>
      </w:r>
      <w:r w:rsidRPr="00721567">
        <w:rPr>
          <w:sz w:val="20"/>
        </w:rPr>
        <w:t>Specifically, how should the rules ensure that:</w:t>
      </w:r>
    </w:p>
    <w:p w:rsidR="00CA5AD6" w:rsidRPr="00721567" w:rsidRDefault="00CA5AD6" w:rsidP="003A1738">
      <w:pPr>
        <w:keepNext/>
        <w:widowControl/>
        <w:tabs>
          <w:tab w:val="left" w:pos="720"/>
        </w:tabs>
        <w:spacing w:line="360" w:lineRule="auto"/>
        <w:ind w:left="720"/>
        <w:rPr>
          <w:sz w:val="20"/>
        </w:rPr>
      </w:pPr>
      <w:r w:rsidRPr="00721567">
        <w:rPr>
          <w:b/>
          <w:sz w:val="20"/>
        </w:rPr>
        <w:t>Question D.3</w:t>
      </w:r>
      <w:r w:rsidR="00532E66">
        <w:rPr>
          <w:b/>
          <w:sz w:val="20"/>
        </w:rPr>
        <w:t>.</w:t>
      </w:r>
      <w:r w:rsidRPr="00721567">
        <w:rPr>
          <w:b/>
          <w:sz w:val="20"/>
        </w:rPr>
        <w:t>a</w:t>
      </w:r>
      <w:r w:rsidRPr="00F70148">
        <w:rPr>
          <w:b/>
          <w:sz w:val="20"/>
        </w:rPr>
        <w:t>:</w:t>
      </w:r>
      <w:r w:rsidR="00532E66">
        <w:rPr>
          <w:b/>
          <w:sz w:val="20"/>
        </w:rPr>
        <w:t xml:space="preserve">  </w:t>
      </w:r>
      <w:r w:rsidRPr="00721567">
        <w:rPr>
          <w:sz w:val="20"/>
        </w:rPr>
        <w:t>The RENP receives immediate notice directly from the vendor of an unauthorized interception of a REN transaction?</w:t>
      </w:r>
    </w:p>
    <w:p w:rsidR="00CA5AD6" w:rsidRPr="00721567" w:rsidRDefault="00CA5AD6" w:rsidP="00651D87">
      <w:pPr>
        <w:widowControl/>
        <w:spacing w:line="360" w:lineRule="auto"/>
        <w:ind w:left="720"/>
        <w:rPr>
          <w:sz w:val="20"/>
        </w:rPr>
      </w:pPr>
      <w:r w:rsidRPr="00721567">
        <w:rPr>
          <w:b/>
          <w:sz w:val="20"/>
        </w:rPr>
        <w:t>Question D.3</w:t>
      </w:r>
      <w:r w:rsidR="00532E66">
        <w:rPr>
          <w:b/>
          <w:sz w:val="20"/>
        </w:rPr>
        <w:t>.</w:t>
      </w:r>
      <w:r w:rsidRPr="00721567">
        <w:rPr>
          <w:b/>
          <w:sz w:val="20"/>
        </w:rPr>
        <w:t>b:</w:t>
      </w:r>
      <w:r w:rsidR="00532E66">
        <w:rPr>
          <w:b/>
          <w:sz w:val="20"/>
        </w:rPr>
        <w:t xml:space="preserve">  </w:t>
      </w:r>
      <w:r w:rsidRPr="00721567">
        <w:rPr>
          <w:sz w:val="20"/>
        </w:rPr>
        <w:t>The RENP can directly contact the vendor if technical support is needed during a REN transaction?</w:t>
      </w:r>
    </w:p>
    <w:p w:rsidR="00CA5AD6" w:rsidRPr="00721567" w:rsidRDefault="00CA5AD6" w:rsidP="00651D87">
      <w:pPr>
        <w:widowControl/>
        <w:spacing w:line="360" w:lineRule="auto"/>
        <w:ind w:left="720"/>
        <w:rPr>
          <w:sz w:val="20"/>
        </w:rPr>
      </w:pPr>
      <w:r w:rsidRPr="00721567">
        <w:rPr>
          <w:b/>
          <w:sz w:val="20"/>
        </w:rPr>
        <w:t>Question D.3</w:t>
      </w:r>
      <w:r w:rsidR="00532E66">
        <w:rPr>
          <w:b/>
          <w:sz w:val="20"/>
        </w:rPr>
        <w:t>.</w:t>
      </w:r>
      <w:r w:rsidRPr="00721567">
        <w:rPr>
          <w:b/>
          <w:sz w:val="20"/>
        </w:rPr>
        <w:t>c:</w:t>
      </w:r>
      <w:r w:rsidRPr="00721567">
        <w:rPr>
          <w:sz w:val="20"/>
        </w:rPr>
        <w:t xml:space="preserve">  </w:t>
      </w:r>
      <w:r w:rsidR="00DC4036">
        <w:rPr>
          <w:sz w:val="20"/>
        </w:rPr>
        <w:tab/>
      </w:r>
      <w:r w:rsidRPr="00721567">
        <w:rPr>
          <w:sz w:val="20"/>
        </w:rPr>
        <w:t xml:space="preserve">The RENP receives notice directly from the vendor of data breaches, etc., so that the RENP can make required 10 calendar-day notices of theft, permanent loss of data, etc.? </w:t>
      </w:r>
    </w:p>
    <w:p w:rsidR="00CA5AD6" w:rsidRPr="00721567" w:rsidRDefault="00CA5AD6" w:rsidP="00651D87">
      <w:pPr>
        <w:widowControl/>
        <w:spacing w:line="360" w:lineRule="auto"/>
        <w:ind w:left="720"/>
        <w:rPr>
          <w:sz w:val="20"/>
        </w:rPr>
      </w:pPr>
      <w:r w:rsidRPr="00721567">
        <w:rPr>
          <w:b/>
          <w:sz w:val="20"/>
        </w:rPr>
        <w:t>Question D.3</w:t>
      </w:r>
      <w:r w:rsidR="00532E66">
        <w:rPr>
          <w:b/>
          <w:sz w:val="20"/>
        </w:rPr>
        <w:t>.</w:t>
      </w:r>
      <w:r w:rsidRPr="00721567">
        <w:rPr>
          <w:b/>
          <w:sz w:val="20"/>
        </w:rPr>
        <w:t>d:</w:t>
      </w:r>
      <w:r w:rsidR="00532E66">
        <w:rPr>
          <w:b/>
          <w:sz w:val="20"/>
        </w:rPr>
        <w:t xml:space="preserve">  </w:t>
      </w:r>
      <w:r w:rsidRPr="00721567">
        <w:rPr>
          <w:sz w:val="20"/>
        </w:rPr>
        <w:t>The RENP knows that an issue was on the vendor</w:t>
      </w:r>
      <w:r w:rsidR="00E86B13" w:rsidRPr="00721567">
        <w:rPr>
          <w:sz w:val="20"/>
        </w:rPr>
        <w:t>’</w:t>
      </w:r>
      <w:r w:rsidRPr="00721567">
        <w:rPr>
          <w:sz w:val="20"/>
        </w:rPr>
        <w:t>s side of the technology so that the RENP can request proof directly from the vendor?</w:t>
      </w:r>
    </w:p>
    <w:p w:rsidR="00CA5AD6" w:rsidRDefault="00CA5AD6" w:rsidP="00651D87">
      <w:pPr>
        <w:widowControl/>
        <w:spacing w:line="360" w:lineRule="auto"/>
        <w:ind w:left="720"/>
        <w:rPr>
          <w:sz w:val="20"/>
        </w:rPr>
      </w:pPr>
      <w:r w:rsidRPr="00721567">
        <w:rPr>
          <w:b/>
          <w:sz w:val="20"/>
        </w:rPr>
        <w:t>Question D.3</w:t>
      </w:r>
      <w:r w:rsidR="00532E66">
        <w:rPr>
          <w:b/>
          <w:sz w:val="20"/>
        </w:rPr>
        <w:t>.</w:t>
      </w:r>
      <w:r w:rsidRPr="00721567">
        <w:rPr>
          <w:b/>
          <w:sz w:val="20"/>
        </w:rPr>
        <w:t>e:</w:t>
      </w:r>
      <w:r w:rsidR="00532E66">
        <w:rPr>
          <w:b/>
          <w:sz w:val="20"/>
        </w:rPr>
        <w:t xml:space="preserve">  </w:t>
      </w:r>
      <w:r w:rsidR="00DC4036">
        <w:rPr>
          <w:sz w:val="20"/>
        </w:rPr>
        <w:tab/>
      </w:r>
      <w:r w:rsidRPr="00721567">
        <w:rPr>
          <w:sz w:val="20"/>
        </w:rPr>
        <w:t>The RENP is empowered to ensure that confidentiality of the electronic journal and CT Recording is maintained?</w:t>
      </w:r>
    </w:p>
    <w:p w:rsidR="0005263D" w:rsidRPr="00721567" w:rsidRDefault="0005263D" w:rsidP="00651D87">
      <w:pPr>
        <w:widowControl/>
        <w:spacing w:line="360" w:lineRule="auto"/>
        <w:ind w:left="720"/>
        <w:rPr>
          <w:sz w:val="20"/>
        </w:rPr>
      </w:pPr>
    </w:p>
    <w:p w:rsidR="00CA5AD6" w:rsidRPr="00721567" w:rsidRDefault="00CA5AD6" w:rsidP="00651D87">
      <w:pPr>
        <w:widowControl/>
        <w:spacing w:line="360" w:lineRule="auto"/>
        <w:rPr>
          <w:sz w:val="20"/>
        </w:rPr>
      </w:pPr>
      <w:r w:rsidRPr="00721567">
        <w:rPr>
          <w:sz w:val="20"/>
        </w:rPr>
        <w:t>With regard to the RENP</w:t>
      </w:r>
      <w:r w:rsidR="00E86B13" w:rsidRPr="00721567">
        <w:rPr>
          <w:sz w:val="20"/>
        </w:rPr>
        <w:t>’</w:t>
      </w:r>
      <w:r w:rsidRPr="00721567">
        <w:rPr>
          <w:sz w:val="20"/>
        </w:rPr>
        <w:t>s choice to provide the original electronic journal to the employer on termination, while retaining backup copies:</w:t>
      </w:r>
    </w:p>
    <w:p w:rsidR="00CA5AD6" w:rsidRPr="00721567" w:rsidRDefault="00CA5AD6" w:rsidP="00651D87">
      <w:pPr>
        <w:widowControl/>
        <w:spacing w:line="360" w:lineRule="auto"/>
        <w:rPr>
          <w:sz w:val="20"/>
        </w:rPr>
      </w:pPr>
      <w:r w:rsidRPr="00721567">
        <w:rPr>
          <w:b/>
          <w:sz w:val="20"/>
        </w:rPr>
        <w:t>Question D.4:</w:t>
      </w:r>
      <w:r w:rsidRPr="00721567">
        <w:rPr>
          <w:sz w:val="20"/>
        </w:rPr>
        <w:t xml:space="preserve">  </w:t>
      </w:r>
      <w:r w:rsidR="00F70148">
        <w:rPr>
          <w:sz w:val="20"/>
        </w:rPr>
        <w:t>S</w:t>
      </w:r>
      <w:r w:rsidRPr="00721567">
        <w:rPr>
          <w:sz w:val="20"/>
        </w:rPr>
        <w:t>hould the rules provide guidance to the RENP about how to exercise discretion and decide whether to provide the electronic journal to the employer upon termination?  For example, should the rules:</w:t>
      </w:r>
    </w:p>
    <w:p w:rsidR="00CA5AD6" w:rsidRPr="00721567" w:rsidRDefault="00CA5AD6" w:rsidP="00651D87">
      <w:pPr>
        <w:widowControl/>
        <w:spacing w:line="360" w:lineRule="auto"/>
        <w:ind w:left="720"/>
        <w:rPr>
          <w:sz w:val="20"/>
        </w:rPr>
      </w:pPr>
      <w:r w:rsidRPr="00721567">
        <w:rPr>
          <w:b/>
          <w:sz w:val="20"/>
        </w:rPr>
        <w:t>Question D.4.a:</w:t>
      </w:r>
      <w:r w:rsidR="00532E66">
        <w:rPr>
          <w:b/>
          <w:sz w:val="20"/>
        </w:rPr>
        <w:t xml:space="preserve">  </w:t>
      </w:r>
      <w:r w:rsidRPr="00721567">
        <w:rPr>
          <w:sz w:val="20"/>
        </w:rPr>
        <w:t xml:space="preserve">Include a list of factors that the RENP may consider in exercising such discretion?   </w:t>
      </w:r>
    </w:p>
    <w:p w:rsidR="00CA5AD6" w:rsidRPr="00721567" w:rsidRDefault="00CA5AD6" w:rsidP="00651D87">
      <w:pPr>
        <w:widowControl/>
        <w:spacing w:line="360" w:lineRule="auto"/>
        <w:ind w:left="720"/>
        <w:rPr>
          <w:sz w:val="20"/>
        </w:rPr>
      </w:pPr>
      <w:r w:rsidRPr="00721567">
        <w:rPr>
          <w:b/>
          <w:sz w:val="20"/>
        </w:rPr>
        <w:t>Question D.4.b:</w:t>
      </w:r>
      <w:r w:rsidR="00532E66">
        <w:rPr>
          <w:b/>
          <w:sz w:val="20"/>
        </w:rPr>
        <w:t xml:space="preserve">  </w:t>
      </w:r>
      <w:r w:rsidRPr="00721567">
        <w:rPr>
          <w:sz w:val="20"/>
        </w:rPr>
        <w:t xml:space="preserve">Include any other requirements related to the RENP and the backup copy that the RENP is required to maintain if the RENP provides the original to the employer?  </w:t>
      </w:r>
    </w:p>
    <w:p w:rsidR="00CA5AD6" w:rsidRPr="00721567" w:rsidRDefault="00CA5AD6" w:rsidP="00651D87">
      <w:pPr>
        <w:widowControl/>
        <w:spacing w:line="360" w:lineRule="auto"/>
        <w:ind w:left="720"/>
        <w:rPr>
          <w:sz w:val="20"/>
        </w:rPr>
      </w:pPr>
      <w:r w:rsidRPr="00721567">
        <w:rPr>
          <w:b/>
          <w:sz w:val="20"/>
        </w:rPr>
        <w:t>Question D.4.c:</w:t>
      </w:r>
      <w:r w:rsidR="00532E66">
        <w:rPr>
          <w:b/>
          <w:sz w:val="20"/>
        </w:rPr>
        <w:t xml:space="preserve">  </w:t>
      </w:r>
      <w:r w:rsidRPr="00721567">
        <w:rPr>
          <w:sz w:val="20"/>
        </w:rPr>
        <w:t>If there should be rules related to the backup copy, what should they include, and why?</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With regard to the RENP</w:t>
      </w:r>
      <w:r w:rsidR="00E86B13" w:rsidRPr="00721567">
        <w:rPr>
          <w:sz w:val="20"/>
        </w:rPr>
        <w:t>’</w:t>
      </w:r>
      <w:r w:rsidRPr="00721567">
        <w:rPr>
          <w:sz w:val="20"/>
        </w:rPr>
        <w:t>s termination of employment and the CT Recording:</w:t>
      </w:r>
    </w:p>
    <w:p w:rsidR="00CA5AD6" w:rsidRPr="00721567" w:rsidRDefault="00CA5AD6" w:rsidP="00651D87">
      <w:pPr>
        <w:widowControl/>
        <w:spacing w:line="360" w:lineRule="auto"/>
        <w:rPr>
          <w:sz w:val="20"/>
        </w:rPr>
      </w:pPr>
      <w:r w:rsidRPr="00721567">
        <w:rPr>
          <w:b/>
          <w:sz w:val="20"/>
        </w:rPr>
        <w:t>Question D.5:</w:t>
      </w:r>
      <w:r w:rsidRPr="00721567">
        <w:rPr>
          <w:sz w:val="20"/>
        </w:rPr>
        <w:t xml:space="preserve">  Does the RENP have the authority under RENA to provide the CT Recording to an employer upon termination? </w:t>
      </w:r>
    </w:p>
    <w:p w:rsidR="00CA5AD6" w:rsidRPr="00721567" w:rsidRDefault="00CA5AD6" w:rsidP="00651D87">
      <w:pPr>
        <w:widowControl/>
        <w:spacing w:line="360" w:lineRule="auto"/>
        <w:rPr>
          <w:sz w:val="20"/>
        </w:rPr>
      </w:pPr>
      <w:r w:rsidRPr="00721567">
        <w:rPr>
          <w:b/>
          <w:sz w:val="20"/>
        </w:rPr>
        <w:t xml:space="preserve">Question D.6:  </w:t>
      </w:r>
      <w:r w:rsidRPr="00721567">
        <w:rPr>
          <w:sz w:val="20"/>
        </w:rPr>
        <w:t xml:space="preserve">Does the Secretary have the authority under RENA to authorize the RENP to provide the CT Recording to an employer upon termination?  </w:t>
      </w:r>
    </w:p>
    <w:p w:rsidR="00CA5AD6" w:rsidRPr="00721567" w:rsidRDefault="00CA5AD6" w:rsidP="00651D87">
      <w:pPr>
        <w:widowControl/>
        <w:spacing w:line="360" w:lineRule="auto"/>
        <w:rPr>
          <w:sz w:val="20"/>
        </w:rPr>
      </w:pPr>
      <w:r w:rsidRPr="00721567">
        <w:rPr>
          <w:b/>
          <w:sz w:val="20"/>
        </w:rPr>
        <w:t>Question D.7:</w:t>
      </w:r>
      <w:r w:rsidRPr="00721567">
        <w:rPr>
          <w:sz w:val="20"/>
        </w:rPr>
        <w:t xml:space="preserve">  If the answer to either question D.5 or D.6 is “yes,” under what circumstances should the RENP have the authority to do so?  Please explain and include statutory references.</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With regard to other circumstances and the RENP turning over the electronic journal and CT Recording:</w:t>
      </w:r>
    </w:p>
    <w:p w:rsidR="00CA5AD6" w:rsidRPr="00721567" w:rsidRDefault="00CA5AD6" w:rsidP="00651D87">
      <w:pPr>
        <w:widowControl/>
        <w:spacing w:line="360" w:lineRule="auto"/>
        <w:rPr>
          <w:sz w:val="20"/>
        </w:rPr>
      </w:pPr>
      <w:r w:rsidRPr="00721567">
        <w:rPr>
          <w:b/>
          <w:sz w:val="20"/>
        </w:rPr>
        <w:t>Question D.8:</w:t>
      </w:r>
      <w:r w:rsidRPr="00721567">
        <w:rPr>
          <w:sz w:val="20"/>
        </w:rPr>
        <w:t xml:space="preserve">  Are there any </w:t>
      </w:r>
      <w:r w:rsidR="009E08C8" w:rsidRPr="00721567">
        <w:rPr>
          <w:sz w:val="20"/>
        </w:rPr>
        <w:t xml:space="preserve">other </w:t>
      </w:r>
      <w:r w:rsidRPr="00721567">
        <w:rPr>
          <w:sz w:val="20"/>
        </w:rPr>
        <w:t xml:space="preserve">circumstances (other than order of a court of competent jurisdiction) in which an employer or a third party can require the RENP to turn over the original electronic journal or CT Recording upon termination of employment?  If yes, please explain and include statutory references. </w:t>
      </w:r>
    </w:p>
    <w:p w:rsidR="00CA5AD6" w:rsidRPr="00721567" w:rsidRDefault="00CA5AD6" w:rsidP="00651D87">
      <w:pPr>
        <w:widowControl/>
        <w:spacing w:line="360" w:lineRule="auto"/>
        <w:rPr>
          <w:sz w:val="20"/>
        </w:rPr>
      </w:pPr>
    </w:p>
    <w:p w:rsidR="00CA5AD6" w:rsidRPr="00721567" w:rsidRDefault="009E08C8" w:rsidP="00651D87">
      <w:pPr>
        <w:widowControl/>
        <w:spacing w:line="360" w:lineRule="auto"/>
        <w:rPr>
          <w:sz w:val="20"/>
        </w:rPr>
      </w:pPr>
      <w:r w:rsidRPr="00721567">
        <w:rPr>
          <w:sz w:val="20"/>
        </w:rPr>
        <w:t xml:space="preserve">The Agency invites comment </w:t>
      </w:r>
      <w:r w:rsidR="00AD68CF" w:rsidRPr="00721567">
        <w:rPr>
          <w:sz w:val="20"/>
        </w:rPr>
        <w:t xml:space="preserve">on </w:t>
      </w:r>
      <w:r w:rsidRPr="00721567">
        <w:rPr>
          <w:sz w:val="20"/>
        </w:rPr>
        <w:t xml:space="preserve">the questions below </w:t>
      </w:r>
      <w:r w:rsidR="00CA5AD6" w:rsidRPr="00721567">
        <w:rPr>
          <w:sz w:val="20"/>
        </w:rPr>
        <w:t>regard</w:t>
      </w:r>
      <w:r w:rsidRPr="00721567">
        <w:rPr>
          <w:sz w:val="20"/>
        </w:rPr>
        <w:t>ing</w:t>
      </w:r>
      <w:r w:rsidR="00CA5AD6" w:rsidRPr="00721567">
        <w:rPr>
          <w:sz w:val="20"/>
        </w:rPr>
        <w:t xml:space="preserve"> </w:t>
      </w:r>
      <w:r w:rsidRPr="00721567">
        <w:rPr>
          <w:sz w:val="20"/>
        </w:rPr>
        <w:t xml:space="preserve">additional rules that might permit </w:t>
      </w:r>
      <w:r w:rsidR="00CA5AD6" w:rsidRPr="00721567">
        <w:rPr>
          <w:sz w:val="20"/>
        </w:rPr>
        <w:t xml:space="preserve">surrender or destruction of the electronic journal or CT </w:t>
      </w:r>
      <w:r w:rsidR="00AD68CF" w:rsidRPr="00721567">
        <w:rPr>
          <w:sz w:val="20"/>
        </w:rPr>
        <w:t>Recording.</w:t>
      </w:r>
      <w:r w:rsidR="004E322B" w:rsidRPr="00721567">
        <w:rPr>
          <w:rStyle w:val="FootnoteReference"/>
          <w:sz w:val="20"/>
          <w:vertAlign w:val="superscript"/>
        </w:rPr>
        <w:footnoteReference w:id="41"/>
      </w:r>
      <w:r w:rsidR="00CA5AD6" w:rsidRPr="00721567">
        <w:rPr>
          <w:sz w:val="20"/>
          <w:vertAlign w:val="superscript"/>
        </w:rPr>
        <w:t xml:space="preserve"> </w:t>
      </w:r>
      <w:r w:rsidR="00CA5AD6" w:rsidRPr="00721567">
        <w:rPr>
          <w:sz w:val="20"/>
        </w:rPr>
        <w:t xml:space="preserve"> </w:t>
      </w:r>
    </w:p>
    <w:p w:rsidR="00CA5AD6" w:rsidRPr="00721567" w:rsidRDefault="00CA5AD6" w:rsidP="00651D87">
      <w:pPr>
        <w:widowControl/>
        <w:spacing w:line="360" w:lineRule="auto"/>
        <w:rPr>
          <w:sz w:val="20"/>
        </w:rPr>
      </w:pPr>
      <w:r w:rsidRPr="00721567">
        <w:rPr>
          <w:b/>
          <w:sz w:val="20"/>
        </w:rPr>
        <w:lastRenderedPageBreak/>
        <w:t xml:space="preserve">Question D.9: </w:t>
      </w:r>
      <w:r w:rsidRPr="00721567">
        <w:rPr>
          <w:sz w:val="20"/>
        </w:rPr>
        <w:t xml:space="preserve"> Under what circumstances should </w:t>
      </w:r>
      <w:r w:rsidR="00E877EF" w:rsidRPr="00721567">
        <w:rPr>
          <w:sz w:val="20"/>
        </w:rPr>
        <w:t>the rules</w:t>
      </w:r>
      <w:r w:rsidRPr="00721567">
        <w:rPr>
          <w:sz w:val="20"/>
        </w:rPr>
        <w:t xml:space="preserve"> permit the RENP to surrender or destroy the electronic journal or CT Recording, other than in response to a court order?</w:t>
      </w:r>
    </w:p>
    <w:p w:rsidR="00CA5AD6" w:rsidRPr="00721567" w:rsidRDefault="00CA5AD6" w:rsidP="00651D87">
      <w:pPr>
        <w:widowControl/>
        <w:spacing w:line="360" w:lineRule="auto"/>
        <w:rPr>
          <w:sz w:val="20"/>
        </w:rPr>
      </w:pPr>
      <w:r w:rsidRPr="00721567">
        <w:rPr>
          <w:b/>
          <w:sz w:val="20"/>
        </w:rPr>
        <w:t>Question D.10:</w:t>
      </w:r>
      <w:r w:rsidRPr="00721567">
        <w:rPr>
          <w:sz w:val="20"/>
        </w:rPr>
        <w:t xml:space="preserve">  To whom should the rules permit the RENP to surrender or destroy the electronic journal or CT Recording?  For example, possibilities include surrender:</w:t>
      </w:r>
    </w:p>
    <w:p w:rsidR="00CA5AD6" w:rsidRPr="00721567" w:rsidRDefault="00CA5AD6" w:rsidP="00532E66">
      <w:pPr>
        <w:widowControl/>
        <w:spacing w:line="360" w:lineRule="auto"/>
        <w:ind w:left="720"/>
        <w:rPr>
          <w:sz w:val="20"/>
        </w:rPr>
      </w:pPr>
      <w:r w:rsidRPr="00721567">
        <w:rPr>
          <w:b/>
          <w:sz w:val="20"/>
        </w:rPr>
        <w:t>Question D.10.a:</w:t>
      </w:r>
      <w:r w:rsidR="00532E66">
        <w:rPr>
          <w:b/>
          <w:sz w:val="20"/>
        </w:rPr>
        <w:t xml:space="preserve">  </w:t>
      </w:r>
      <w:r w:rsidRPr="00721567">
        <w:rPr>
          <w:sz w:val="20"/>
        </w:rPr>
        <w:t xml:space="preserve">In response to a subpoena; </w:t>
      </w:r>
    </w:p>
    <w:p w:rsidR="00CA5AD6" w:rsidRPr="00721567" w:rsidRDefault="00CA5AD6" w:rsidP="00532E66">
      <w:pPr>
        <w:widowControl/>
        <w:spacing w:line="360" w:lineRule="auto"/>
        <w:ind w:left="720"/>
        <w:rPr>
          <w:b/>
          <w:sz w:val="20"/>
        </w:rPr>
      </w:pPr>
      <w:r w:rsidRPr="00721567">
        <w:rPr>
          <w:b/>
          <w:sz w:val="20"/>
        </w:rPr>
        <w:t>Question D.10.b</w:t>
      </w:r>
      <w:r w:rsidRPr="00532E66">
        <w:rPr>
          <w:b/>
          <w:sz w:val="20"/>
        </w:rPr>
        <w:t>:</w:t>
      </w:r>
      <w:r w:rsidR="00532E66">
        <w:rPr>
          <w:b/>
          <w:sz w:val="20"/>
        </w:rPr>
        <w:t xml:space="preserve">  </w:t>
      </w:r>
      <w:r w:rsidRPr="00721567">
        <w:rPr>
          <w:sz w:val="20"/>
        </w:rPr>
        <w:t xml:space="preserve">For a quality assurance review by an employer or interested third parties such as a mortgage lender; or </w:t>
      </w:r>
    </w:p>
    <w:p w:rsidR="00CA5AD6" w:rsidRPr="00721567" w:rsidRDefault="00CA5AD6" w:rsidP="00532E66">
      <w:pPr>
        <w:widowControl/>
        <w:spacing w:line="360" w:lineRule="auto"/>
        <w:ind w:left="720"/>
        <w:rPr>
          <w:sz w:val="20"/>
        </w:rPr>
      </w:pPr>
      <w:r w:rsidRPr="00721567">
        <w:rPr>
          <w:b/>
          <w:sz w:val="20"/>
        </w:rPr>
        <w:t>Question D.10.c:</w:t>
      </w:r>
      <w:r w:rsidR="00532E66">
        <w:rPr>
          <w:b/>
          <w:sz w:val="20"/>
        </w:rPr>
        <w:t xml:space="preserve">  </w:t>
      </w:r>
      <w:r w:rsidRPr="00721567">
        <w:rPr>
          <w:sz w:val="20"/>
        </w:rPr>
        <w:t>For an employer</w:t>
      </w:r>
      <w:r w:rsidR="00E86B13" w:rsidRPr="00721567">
        <w:rPr>
          <w:sz w:val="20"/>
        </w:rPr>
        <w:t>’</w:t>
      </w:r>
      <w:r w:rsidRPr="00721567">
        <w:rPr>
          <w:sz w:val="20"/>
        </w:rPr>
        <w:t>s review of the RENP</w:t>
      </w:r>
      <w:r w:rsidR="00E86B13" w:rsidRPr="00721567">
        <w:rPr>
          <w:sz w:val="20"/>
        </w:rPr>
        <w:t>’</w:t>
      </w:r>
      <w:r w:rsidRPr="00721567">
        <w:rPr>
          <w:sz w:val="20"/>
        </w:rPr>
        <w:t>s performance as an employee.</w:t>
      </w:r>
    </w:p>
    <w:p w:rsidR="00CA5AD6" w:rsidRPr="00721567" w:rsidRDefault="00CA5AD6" w:rsidP="00651D87">
      <w:pPr>
        <w:widowControl/>
        <w:spacing w:line="360" w:lineRule="auto"/>
        <w:rPr>
          <w:sz w:val="20"/>
        </w:rPr>
      </w:pPr>
      <w:r w:rsidRPr="00721567">
        <w:rPr>
          <w:b/>
          <w:sz w:val="20"/>
        </w:rPr>
        <w:t xml:space="preserve">Question D.11: </w:t>
      </w:r>
      <w:r w:rsidRPr="00721567">
        <w:rPr>
          <w:sz w:val="20"/>
        </w:rPr>
        <w:t xml:space="preserve"> Should the rules allow such a surrender to be permanent or should the rules require that surrender be time limited?</w:t>
      </w:r>
    </w:p>
    <w:p w:rsidR="00CA5AD6" w:rsidRPr="00721567" w:rsidRDefault="00CA5AD6" w:rsidP="00F70148">
      <w:pPr>
        <w:widowControl/>
        <w:tabs>
          <w:tab w:val="left" w:pos="1350"/>
        </w:tabs>
        <w:spacing w:line="360" w:lineRule="auto"/>
        <w:rPr>
          <w:sz w:val="20"/>
        </w:rPr>
      </w:pPr>
      <w:r w:rsidRPr="00721567">
        <w:rPr>
          <w:b/>
          <w:sz w:val="20"/>
        </w:rPr>
        <w:t>Question D.12:</w:t>
      </w:r>
      <w:r w:rsidRPr="00721567">
        <w:rPr>
          <w:sz w:val="20"/>
        </w:rPr>
        <w:t xml:space="preserve"> </w:t>
      </w:r>
      <w:r w:rsidR="00F70148">
        <w:rPr>
          <w:sz w:val="20"/>
        </w:rPr>
        <w:t xml:space="preserve"> </w:t>
      </w:r>
      <w:r w:rsidRPr="00721567">
        <w:rPr>
          <w:sz w:val="20"/>
        </w:rPr>
        <w:t xml:space="preserve">Should the rules include the controls that should be in place to assure the security and proper use of such materials?    </w:t>
      </w:r>
    </w:p>
    <w:p w:rsidR="00CA5AD6" w:rsidRPr="00721567" w:rsidRDefault="00CA5AD6" w:rsidP="00651D87">
      <w:pPr>
        <w:widowControl/>
        <w:spacing w:line="360" w:lineRule="auto"/>
        <w:rPr>
          <w:sz w:val="20"/>
        </w:rPr>
      </w:pPr>
      <w:r w:rsidRPr="00721567">
        <w:rPr>
          <w:b/>
          <w:sz w:val="20"/>
        </w:rPr>
        <w:t xml:space="preserve">Question D.13: </w:t>
      </w:r>
      <w:r w:rsidRPr="00721567">
        <w:rPr>
          <w:sz w:val="20"/>
        </w:rPr>
        <w:t xml:space="preserve"> How should the rule</w:t>
      </w:r>
      <w:r w:rsidR="00F42C66">
        <w:rPr>
          <w:sz w:val="20"/>
        </w:rPr>
        <w:t>s</w:t>
      </w:r>
      <w:r w:rsidRPr="00721567">
        <w:rPr>
          <w:sz w:val="20"/>
        </w:rPr>
        <w:t xml:space="preserve"> address these circumstances so that the RENP and the remotely located principal are clear on when the RENP can and cannot provide access to the electronic journals and CT Recording?  Please include supporting statutory references. </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With regard to the RENA requirement that the RENP maintain the confidentiality of the REN transaction:</w:t>
      </w:r>
    </w:p>
    <w:p w:rsidR="00CA5AD6" w:rsidRPr="00721567" w:rsidRDefault="00CA5AD6" w:rsidP="00651D87">
      <w:pPr>
        <w:widowControl/>
        <w:spacing w:line="360" w:lineRule="auto"/>
        <w:rPr>
          <w:sz w:val="20"/>
        </w:rPr>
      </w:pPr>
      <w:r w:rsidRPr="00721567">
        <w:rPr>
          <w:b/>
          <w:sz w:val="20"/>
        </w:rPr>
        <w:t>Question D.14:</w:t>
      </w:r>
      <w:r w:rsidRPr="00721567">
        <w:rPr>
          <w:sz w:val="20"/>
        </w:rPr>
        <w:t xml:space="preserve">  Should the rules address with specificity the requirement of maintaining the confidentiality of the REN transaction?  </w:t>
      </w:r>
    </w:p>
    <w:p w:rsidR="00CA5AD6" w:rsidRPr="00721567" w:rsidRDefault="00F70148" w:rsidP="00651D87">
      <w:pPr>
        <w:widowControl/>
        <w:spacing w:line="360" w:lineRule="auto"/>
        <w:rPr>
          <w:sz w:val="20"/>
        </w:rPr>
      </w:pPr>
      <w:r>
        <w:rPr>
          <w:b/>
          <w:sz w:val="20"/>
        </w:rPr>
        <w:t xml:space="preserve">Question D.15:  </w:t>
      </w:r>
      <w:r w:rsidRPr="00F70148">
        <w:rPr>
          <w:sz w:val="20"/>
        </w:rPr>
        <w:t>S</w:t>
      </w:r>
      <w:r w:rsidR="00CA5AD6" w:rsidRPr="00721567">
        <w:rPr>
          <w:sz w:val="20"/>
        </w:rPr>
        <w:t xml:space="preserve">hould rules address with specificity the risks to confidentiality posed by an RENP using a shared computer, either at home, at the workplace, or in a public space?  </w:t>
      </w:r>
    </w:p>
    <w:p w:rsidR="00CA5AD6" w:rsidRPr="00721567" w:rsidRDefault="00CA5AD6" w:rsidP="00651D87">
      <w:pPr>
        <w:widowControl/>
        <w:spacing w:line="360" w:lineRule="auto"/>
        <w:rPr>
          <w:sz w:val="20"/>
        </w:rPr>
      </w:pPr>
      <w:r w:rsidRPr="00721567">
        <w:rPr>
          <w:b/>
          <w:sz w:val="20"/>
        </w:rPr>
        <w:t xml:space="preserve">Question D.16: </w:t>
      </w:r>
      <w:r w:rsidRPr="00721567">
        <w:rPr>
          <w:sz w:val="20"/>
        </w:rPr>
        <w:t xml:space="preserve"> Should the rules address confidentiality if the RENP conducts the REN in either a public space or in a space susceptible to observation by parties that are neither the RENP nor a remotely located principal? </w:t>
      </w:r>
    </w:p>
    <w:p w:rsidR="00CA5AD6" w:rsidRPr="00721567" w:rsidRDefault="00CA5AD6" w:rsidP="00651D87">
      <w:pPr>
        <w:widowControl/>
        <w:spacing w:line="360" w:lineRule="auto"/>
        <w:ind w:left="720"/>
        <w:rPr>
          <w:sz w:val="20"/>
        </w:rPr>
      </w:pPr>
      <w:r w:rsidRPr="00721567">
        <w:rPr>
          <w:b/>
          <w:sz w:val="20"/>
        </w:rPr>
        <w:t>Question D</w:t>
      </w:r>
      <w:r w:rsidR="00532E66">
        <w:rPr>
          <w:b/>
          <w:sz w:val="20"/>
        </w:rPr>
        <w:t>.</w:t>
      </w:r>
      <w:r w:rsidRPr="00721567">
        <w:rPr>
          <w:b/>
          <w:sz w:val="20"/>
        </w:rPr>
        <w:t>16.a:</w:t>
      </w:r>
      <w:r w:rsidR="00532E66">
        <w:rPr>
          <w:b/>
          <w:sz w:val="20"/>
        </w:rPr>
        <w:t xml:space="preserve">  </w:t>
      </w:r>
      <w:r w:rsidRPr="00721567">
        <w:rPr>
          <w:sz w:val="20"/>
        </w:rPr>
        <w:t xml:space="preserve">Should the rules require headphones and screen-blocking technology in such instances? </w:t>
      </w:r>
    </w:p>
    <w:p w:rsidR="00790B9C" w:rsidRDefault="00790B9C" w:rsidP="00651D87">
      <w:pPr>
        <w:widowControl/>
        <w:spacing w:line="360" w:lineRule="auto"/>
        <w:rPr>
          <w:b/>
          <w:sz w:val="20"/>
        </w:rPr>
      </w:pPr>
    </w:p>
    <w:p w:rsidR="00CA5AD6" w:rsidRPr="00721567" w:rsidRDefault="00CA5AD6" w:rsidP="00651D87">
      <w:pPr>
        <w:widowControl/>
        <w:spacing w:line="360" w:lineRule="auto"/>
        <w:rPr>
          <w:sz w:val="20"/>
        </w:rPr>
      </w:pPr>
      <w:r w:rsidRPr="00721567">
        <w:rPr>
          <w:b/>
          <w:sz w:val="20"/>
        </w:rPr>
        <w:t xml:space="preserve">Question D.17: </w:t>
      </w:r>
      <w:r w:rsidRPr="00721567">
        <w:rPr>
          <w:sz w:val="20"/>
        </w:rPr>
        <w:t xml:space="preserve"> Are there any other issues related to confidentiality, security or the legal obligations of the RENP that the Agency should address where the RENP is employed by a third party?  If yes, what are they and how should the Agency address them?</w:t>
      </w:r>
    </w:p>
    <w:p w:rsidR="00CA5AD6" w:rsidRPr="00721567" w:rsidRDefault="00CA5AD6" w:rsidP="00651D87">
      <w:pPr>
        <w:widowControl/>
        <w:spacing w:line="360" w:lineRule="auto"/>
        <w:rPr>
          <w:sz w:val="20"/>
        </w:rPr>
      </w:pPr>
      <w:r w:rsidRPr="00721567">
        <w:rPr>
          <w:b/>
          <w:sz w:val="20"/>
        </w:rPr>
        <w:t xml:space="preserve">Question D.18: </w:t>
      </w:r>
      <w:r w:rsidRPr="00721567">
        <w:rPr>
          <w:sz w:val="20"/>
        </w:rPr>
        <w:t xml:space="preserve"> Is there anything else the rules need to address with regard to the duties of an RENP who performs REN for the RENP</w:t>
      </w:r>
      <w:r w:rsidR="00E86B13" w:rsidRPr="00721567">
        <w:rPr>
          <w:sz w:val="20"/>
        </w:rPr>
        <w:t>’</w:t>
      </w:r>
      <w:r w:rsidRPr="00721567">
        <w:rPr>
          <w:sz w:val="20"/>
        </w:rPr>
        <w:t>s employer?  If yes, what else should the rules address?  Please be specific.</w:t>
      </w:r>
    </w:p>
    <w:p w:rsidR="00CA5AD6" w:rsidRPr="00721567" w:rsidRDefault="00CA5AD6" w:rsidP="00651D87">
      <w:pPr>
        <w:widowControl/>
        <w:spacing w:line="360" w:lineRule="auto"/>
        <w:rPr>
          <w:sz w:val="20"/>
        </w:rPr>
      </w:pPr>
    </w:p>
    <w:p w:rsidR="00CA5AD6" w:rsidRPr="00721567" w:rsidRDefault="00CA5AD6" w:rsidP="00651D87">
      <w:pPr>
        <w:pStyle w:val="Heading1"/>
        <w:widowControl/>
        <w:spacing w:line="360" w:lineRule="auto"/>
        <w:ind w:left="0"/>
        <w:jc w:val="left"/>
        <w:rPr>
          <w:b/>
          <w:sz w:val="20"/>
        </w:rPr>
      </w:pPr>
      <w:bookmarkStart w:id="5" w:name="_Toc117090618"/>
      <w:r w:rsidRPr="00721567">
        <w:rPr>
          <w:b/>
          <w:sz w:val="20"/>
        </w:rPr>
        <w:t xml:space="preserve">E.  </w:t>
      </w:r>
      <w:r w:rsidR="00DC4036">
        <w:rPr>
          <w:b/>
          <w:sz w:val="20"/>
        </w:rPr>
        <w:tab/>
      </w:r>
      <w:r w:rsidR="003774D2" w:rsidRPr="00332993">
        <w:rPr>
          <w:b/>
          <w:caps/>
          <w:sz w:val="20"/>
        </w:rPr>
        <w:t xml:space="preserve">Assuring the </w:t>
      </w:r>
      <w:r w:rsidRPr="00332993">
        <w:rPr>
          <w:b/>
          <w:caps/>
          <w:sz w:val="20"/>
        </w:rPr>
        <w:t xml:space="preserve">Security and Confidentiality </w:t>
      </w:r>
      <w:r w:rsidR="003774D2" w:rsidRPr="00332993">
        <w:rPr>
          <w:b/>
          <w:caps/>
          <w:sz w:val="20"/>
        </w:rPr>
        <w:t>of the REN Act</w:t>
      </w:r>
      <w:bookmarkEnd w:id="5"/>
      <w:r w:rsidRPr="00721567">
        <w:rPr>
          <w:b/>
          <w:sz w:val="20"/>
        </w:rPr>
        <w:t xml:space="preserve"> </w:t>
      </w:r>
    </w:p>
    <w:p w:rsidR="00714E39" w:rsidRPr="00721567" w:rsidRDefault="00CA5AD6" w:rsidP="00651D87">
      <w:pPr>
        <w:widowControl/>
        <w:spacing w:line="360" w:lineRule="auto"/>
        <w:rPr>
          <w:sz w:val="20"/>
        </w:rPr>
      </w:pPr>
      <w:r w:rsidRPr="00721567">
        <w:rPr>
          <w:sz w:val="20"/>
        </w:rPr>
        <w:t>RENA includes a number of requirements related to the duty of the RENP to maintain the confidentiality of the REN.  These include any facts or information that the RENP learns about the remotely located principal or transaction</w:t>
      </w:r>
      <w:r w:rsidR="00E877EF" w:rsidRPr="00721567">
        <w:rPr>
          <w:sz w:val="20"/>
        </w:rPr>
        <w:t>.</w:t>
      </w:r>
      <w:r w:rsidR="004E322B" w:rsidRPr="00721567">
        <w:rPr>
          <w:rStyle w:val="FootnoteReference"/>
          <w:sz w:val="20"/>
          <w:vertAlign w:val="superscript"/>
        </w:rPr>
        <w:footnoteReference w:id="42"/>
      </w:r>
      <w:r w:rsidR="00E877EF" w:rsidRPr="00721567">
        <w:rPr>
          <w:sz w:val="20"/>
        </w:rPr>
        <w:t xml:space="preserve">  </w:t>
      </w:r>
      <w:r w:rsidRPr="00721567">
        <w:rPr>
          <w:sz w:val="20"/>
        </w:rPr>
        <w:t xml:space="preserve">In addition, RENA includes requirements about:          </w:t>
      </w:r>
    </w:p>
    <w:p w:rsidR="00714E39" w:rsidRPr="00DC4036" w:rsidRDefault="00714E39" w:rsidP="00B86B38">
      <w:pPr>
        <w:pStyle w:val="ListParagraph"/>
        <w:numPr>
          <w:ilvl w:val="0"/>
          <w:numId w:val="24"/>
        </w:numPr>
        <w:tabs>
          <w:tab w:val="left" w:pos="990"/>
        </w:tabs>
        <w:spacing w:line="360" w:lineRule="auto"/>
        <w:ind w:firstLine="0"/>
        <w:rPr>
          <w:rFonts w:cs="Times New Roman"/>
          <w:color w:val="auto"/>
          <w:sz w:val="20"/>
          <w:szCs w:val="20"/>
        </w:rPr>
      </w:pPr>
      <w:r w:rsidRPr="00DC4036">
        <w:rPr>
          <w:rFonts w:cs="Times New Roman"/>
          <w:color w:val="auto"/>
          <w:sz w:val="20"/>
          <w:szCs w:val="20"/>
        </w:rPr>
        <w:t xml:space="preserve">Security </w:t>
      </w:r>
      <w:r w:rsidR="00CA5AD6" w:rsidRPr="00DC4036">
        <w:rPr>
          <w:rFonts w:cs="Times New Roman"/>
          <w:color w:val="auto"/>
          <w:sz w:val="20"/>
          <w:szCs w:val="20"/>
        </w:rPr>
        <w:t xml:space="preserve">of the information technology, </w:t>
      </w:r>
    </w:p>
    <w:p w:rsidR="00714E39" w:rsidRPr="00DC4036" w:rsidRDefault="00714E39" w:rsidP="00B86B38">
      <w:pPr>
        <w:pStyle w:val="ListParagraph"/>
        <w:numPr>
          <w:ilvl w:val="0"/>
          <w:numId w:val="24"/>
        </w:numPr>
        <w:tabs>
          <w:tab w:val="left" w:pos="990"/>
        </w:tabs>
        <w:spacing w:line="360" w:lineRule="auto"/>
        <w:ind w:firstLine="0"/>
        <w:rPr>
          <w:rFonts w:cs="Times New Roman"/>
          <w:color w:val="auto"/>
          <w:sz w:val="20"/>
          <w:szCs w:val="20"/>
        </w:rPr>
      </w:pPr>
      <w:r w:rsidRPr="00DC4036">
        <w:rPr>
          <w:rFonts w:cs="Times New Roman"/>
          <w:color w:val="auto"/>
          <w:sz w:val="20"/>
          <w:szCs w:val="20"/>
        </w:rPr>
        <w:lastRenderedPageBreak/>
        <w:t>A</w:t>
      </w:r>
      <w:r w:rsidR="00CA5AD6" w:rsidRPr="00DC4036">
        <w:rPr>
          <w:rFonts w:cs="Times New Roman"/>
          <w:color w:val="auto"/>
          <w:sz w:val="20"/>
          <w:szCs w:val="20"/>
        </w:rPr>
        <w:t xml:space="preserve">ccess to the technology, and </w:t>
      </w:r>
    </w:p>
    <w:p w:rsidR="00714E39" w:rsidRPr="00DC4036" w:rsidRDefault="00714E39" w:rsidP="00B86B38">
      <w:pPr>
        <w:pStyle w:val="ListParagraph"/>
        <w:numPr>
          <w:ilvl w:val="0"/>
          <w:numId w:val="24"/>
        </w:numPr>
        <w:tabs>
          <w:tab w:val="left" w:pos="990"/>
        </w:tabs>
        <w:spacing w:line="360" w:lineRule="auto"/>
        <w:ind w:firstLine="0"/>
        <w:rPr>
          <w:rFonts w:cs="Times New Roman"/>
          <w:color w:val="auto"/>
          <w:sz w:val="20"/>
          <w:szCs w:val="20"/>
        </w:rPr>
      </w:pPr>
      <w:r w:rsidRPr="00DC4036">
        <w:rPr>
          <w:rFonts w:cs="Times New Roman"/>
          <w:color w:val="auto"/>
          <w:sz w:val="20"/>
          <w:szCs w:val="20"/>
        </w:rPr>
        <w:t>U</w:t>
      </w:r>
      <w:r w:rsidR="00CA5AD6" w:rsidRPr="00DC4036">
        <w:rPr>
          <w:rFonts w:cs="Times New Roman"/>
          <w:color w:val="auto"/>
          <w:sz w:val="20"/>
          <w:szCs w:val="20"/>
        </w:rPr>
        <w:t xml:space="preserve">se of the technology.  </w:t>
      </w:r>
    </w:p>
    <w:p w:rsidR="004465B1" w:rsidRDefault="004465B1"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The Agency will request comments related to security and technology standards in a separate ANPR.</w:t>
      </w:r>
    </w:p>
    <w:p w:rsidR="00CA5AD6" w:rsidRPr="00721567" w:rsidRDefault="00CA5AD6" w:rsidP="00651D87">
      <w:pPr>
        <w:widowControl/>
        <w:spacing w:line="360" w:lineRule="auto"/>
        <w:rPr>
          <w:sz w:val="20"/>
        </w:rPr>
      </w:pPr>
    </w:p>
    <w:p w:rsidR="004B2BD9" w:rsidRDefault="00CA5AD6" w:rsidP="00651D87">
      <w:pPr>
        <w:widowControl/>
        <w:spacing w:line="360" w:lineRule="auto"/>
        <w:rPr>
          <w:sz w:val="20"/>
        </w:rPr>
      </w:pPr>
      <w:r w:rsidRPr="00721567">
        <w:rPr>
          <w:sz w:val="20"/>
        </w:rPr>
        <w:t>This ANPR requests comment about certain confidentiality and security matters in the immediate control of the RENP.  RENA imposes security and confidentiality duties on the R</w:t>
      </w:r>
      <w:r w:rsidR="004B2BD9">
        <w:rPr>
          <w:sz w:val="20"/>
        </w:rPr>
        <w:t xml:space="preserve">ENP that include ensuring that </w:t>
      </w:r>
      <w:r w:rsidR="00714E39" w:rsidRPr="00721567">
        <w:rPr>
          <w:sz w:val="20"/>
        </w:rPr>
        <w:t xml:space="preserve">(a) </w:t>
      </w:r>
      <w:r w:rsidRPr="00721567">
        <w:rPr>
          <w:sz w:val="20"/>
        </w:rPr>
        <w:t xml:space="preserve">there is no unauthorized interception of the REN transaction and </w:t>
      </w:r>
      <w:r w:rsidR="00714E39" w:rsidRPr="00721567">
        <w:rPr>
          <w:sz w:val="20"/>
        </w:rPr>
        <w:t xml:space="preserve">(b) </w:t>
      </w:r>
      <w:r w:rsidRPr="00721567">
        <w:rPr>
          <w:sz w:val="20"/>
        </w:rPr>
        <w:t>the communication technology is secure during the REN transaction.</w:t>
      </w:r>
      <w:r w:rsidR="00C9128D" w:rsidRPr="00721567">
        <w:rPr>
          <w:rStyle w:val="FootnoteReference"/>
          <w:sz w:val="20"/>
          <w:vertAlign w:val="superscript"/>
        </w:rPr>
        <w:footnoteReference w:id="43"/>
      </w:r>
      <w:r w:rsidRPr="00721567">
        <w:rPr>
          <w:sz w:val="20"/>
        </w:rPr>
        <w:t xml:space="preserve">  </w:t>
      </w:r>
    </w:p>
    <w:p w:rsidR="004B2BD9" w:rsidRDefault="004B2BD9"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 xml:space="preserve">Security </w:t>
      </w:r>
      <w:r w:rsidR="00BC5D0D" w:rsidRPr="00721567">
        <w:rPr>
          <w:sz w:val="20"/>
        </w:rPr>
        <w:t xml:space="preserve">today </w:t>
      </w:r>
      <w:r w:rsidRPr="00721567">
        <w:rPr>
          <w:sz w:val="20"/>
        </w:rPr>
        <w:t>is often ensured by a multi-layered set of protections.  For example, before the RENP ever gets to the point of logging on to the communication platform, there is typically a password to access the device the RENP will be using</w:t>
      </w:r>
      <w:r w:rsidR="00E877EF" w:rsidRPr="00721567">
        <w:rPr>
          <w:sz w:val="20"/>
        </w:rPr>
        <w:t xml:space="preserve">.  </w:t>
      </w:r>
      <w:r w:rsidRPr="00721567">
        <w:rPr>
          <w:sz w:val="20"/>
        </w:rPr>
        <w:t xml:space="preserve">The RENP may be required to change the </w:t>
      </w:r>
      <w:r w:rsidR="00B2303F">
        <w:rPr>
          <w:sz w:val="20"/>
        </w:rPr>
        <w:t xml:space="preserve">device </w:t>
      </w:r>
      <w:r w:rsidRPr="00721567">
        <w:rPr>
          <w:sz w:val="20"/>
        </w:rPr>
        <w:t>password periodically.  The RENP may have to enter a different password to sign on to the internet.  Both passwords may have to meet requirements such as</w:t>
      </w:r>
      <w:r w:rsidR="000557CF">
        <w:rPr>
          <w:sz w:val="20"/>
        </w:rPr>
        <w:t xml:space="preserve"> a minimum </w:t>
      </w:r>
      <w:r w:rsidRPr="00721567">
        <w:rPr>
          <w:sz w:val="20"/>
        </w:rPr>
        <w:t xml:space="preserve">number of characters, and inclusion of a number, symbol, and alphabetical character.  Each of these steps is a layer in security protections before those that will be incorporated in the communication platform. </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 xml:space="preserve">It is possible that an RENP may have reason to be in a public space </w:t>
      </w:r>
      <w:r w:rsidR="00BC5D0D" w:rsidRPr="00721567">
        <w:rPr>
          <w:sz w:val="20"/>
        </w:rPr>
        <w:t>(</w:t>
      </w:r>
      <w:r w:rsidRPr="00721567">
        <w:rPr>
          <w:sz w:val="20"/>
        </w:rPr>
        <w:t xml:space="preserve">such as a </w:t>
      </w:r>
      <w:r w:rsidR="00BC5D0D" w:rsidRPr="00721567">
        <w:rPr>
          <w:sz w:val="20"/>
        </w:rPr>
        <w:t xml:space="preserve">public library or </w:t>
      </w:r>
      <w:r w:rsidRPr="00721567">
        <w:rPr>
          <w:sz w:val="20"/>
        </w:rPr>
        <w:t>coffee shop</w:t>
      </w:r>
      <w:r w:rsidR="00BC5D0D" w:rsidRPr="00721567">
        <w:rPr>
          <w:sz w:val="20"/>
        </w:rPr>
        <w:t>)</w:t>
      </w:r>
      <w:r w:rsidRPr="00721567">
        <w:rPr>
          <w:sz w:val="20"/>
        </w:rPr>
        <w:t xml:space="preserve"> when performing a REN transaction.  Many public spaces </w:t>
      </w:r>
      <w:r w:rsidR="00BC5D0D" w:rsidRPr="00721567">
        <w:rPr>
          <w:sz w:val="20"/>
        </w:rPr>
        <w:t xml:space="preserve">offer </w:t>
      </w:r>
      <w:r w:rsidRPr="00721567">
        <w:rPr>
          <w:sz w:val="20"/>
        </w:rPr>
        <w:t xml:space="preserve">access to the Internet through “Wi-Fi”.  Some provide, and require, use of a password that they provide in order to access the Wi-Fi.  </w:t>
      </w:r>
      <w:r w:rsidR="00BC5D0D" w:rsidRPr="00721567">
        <w:rPr>
          <w:sz w:val="20"/>
        </w:rPr>
        <w:t>T</w:t>
      </w:r>
      <w:r w:rsidRPr="00721567">
        <w:rPr>
          <w:sz w:val="20"/>
        </w:rPr>
        <w:t xml:space="preserve">his </w:t>
      </w:r>
      <w:r w:rsidR="00BC5D0D" w:rsidRPr="00721567">
        <w:rPr>
          <w:sz w:val="20"/>
        </w:rPr>
        <w:t xml:space="preserve">may be </w:t>
      </w:r>
      <w:r w:rsidRPr="00721567">
        <w:rPr>
          <w:sz w:val="20"/>
        </w:rPr>
        <w:t>a single password for all users of their public Wi-Fi.  Others may simply allow access to their Wi-Fi without a password.  Use of public Wi-Fi poses security risks.  Sometimes people will try to reduce those risks by using a “Virtual Private Network” or “VPN” to access the public space</w:t>
      </w:r>
      <w:r w:rsidR="00E86B13" w:rsidRPr="00721567">
        <w:rPr>
          <w:sz w:val="20"/>
        </w:rPr>
        <w:t>’</w:t>
      </w:r>
      <w:r w:rsidRPr="00721567">
        <w:rPr>
          <w:sz w:val="20"/>
        </w:rPr>
        <w:t xml:space="preserve">s Wi-Fi. </w:t>
      </w:r>
    </w:p>
    <w:p w:rsidR="00CA5AD6" w:rsidRPr="00721567" w:rsidRDefault="00CA5AD6" w:rsidP="00651D87">
      <w:pPr>
        <w:widowControl/>
        <w:spacing w:line="360" w:lineRule="auto"/>
        <w:rPr>
          <w:sz w:val="20"/>
        </w:rPr>
      </w:pPr>
    </w:p>
    <w:p w:rsidR="00CA5AD6" w:rsidRDefault="00CA5AD6" w:rsidP="00651D87">
      <w:pPr>
        <w:widowControl/>
        <w:spacing w:line="360" w:lineRule="auto"/>
        <w:rPr>
          <w:sz w:val="20"/>
        </w:rPr>
      </w:pPr>
      <w:r w:rsidRPr="00721567">
        <w:rPr>
          <w:sz w:val="20"/>
        </w:rPr>
        <w:t>If an RENP is conducting a REN transaction in public spaces, or spaces not controlled by the RENP, the transaction is subject to physical compromise.  For example, people not involved in the transaction may be able to view the REN and participants.  They may even be able to hear what those involved are saying.  If the RENP is in a public space and is engaged in establishing the identity of the remotely located principal, this poses particular risks to sensitive personal identifying information.</w:t>
      </w:r>
    </w:p>
    <w:p w:rsidR="00F42DBD" w:rsidRPr="00721567" w:rsidRDefault="00F42DBD" w:rsidP="00651D87">
      <w:pPr>
        <w:widowControl/>
        <w:spacing w:line="360" w:lineRule="auto"/>
        <w:rPr>
          <w:sz w:val="20"/>
        </w:rPr>
      </w:pPr>
    </w:p>
    <w:p w:rsidR="00CA5AD6" w:rsidRPr="00721567" w:rsidRDefault="00CA5AD6" w:rsidP="00651D87">
      <w:pPr>
        <w:widowControl/>
        <w:spacing w:line="360" w:lineRule="auto"/>
        <w:rPr>
          <w:sz w:val="20"/>
        </w:rPr>
      </w:pPr>
      <w:r w:rsidRPr="00721567">
        <w:rPr>
          <w:b/>
          <w:sz w:val="20"/>
        </w:rPr>
        <w:t>Question E.1</w:t>
      </w:r>
      <w:r w:rsidRPr="00F70148">
        <w:rPr>
          <w:b/>
          <w:sz w:val="20"/>
        </w:rPr>
        <w:t xml:space="preserve">: </w:t>
      </w:r>
      <w:r w:rsidRPr="00721567">
        <w:rPr>
          <w:sz w:val="20"/>
        </w:rPr>
        <w:t xml:space="preserve"> What should the rules require with regard to security up to the point when the RENP signs on to the selected approved or licensed technology?  Please be specific.</w:t>
      </w:r>
    </w:p>
    <w:p w:rsidR="00CA5AD6" w:rsidRPr="00721567" w:rsidRDefault="00CA5AD6" w:rsidP="00651D87">
      <w:pPr>
        <w:widowControl/>
        <w:spacing w:line="360" w:lineRule="auto"/>
        <w:rPr>
          <w:sz w:val="20"/>
        </w:rPr>
      </w:pPr>
      <w:r w:rsidRPr="00721567">
        <w:rPr>
          <w:b/>
          <w:sz w:val="20"/>
        </w:rPr>
        <w:t>Question E.2:</w:t>
      </w:r>
      <w:r w:rsidRPr="00721567">
        <w:rPr>
          <w:sz w:val="20"/>
        </w:rPr>
        <w:t xml:space="preserve">  What security and confidentiality provisions should be included in the rules for a situation in which the RENP</w:t>
      </w:r>
      <w:r w:rsidR="00E86B13" w:rsidRPr="00721567">
        <w:rPr>
          <w:sz w:val="20"/>
        </w:rPr>
        <w:t>’</w:t>
      </w:r>
      <w:r w:rsidRPr="00721567">
        <w:rPr>
          <w:sz w:val="20"/>
        </w:rPr>
        <w:t xml:space="preserve">s computer is shared with others?  </w:t>
      </w:r>
    </w:p>
    <w:p w:rsidR="00CA5AD6" w:rsidRPr="00721567" w:rsidRDefault="00CA5AD6" w:rsidP="00651D87">
      <w:pPr>
        <w:widowControl/>
        <w:spacing w:line="360" w:lineRule="auto"/>
        <w:rPr>
          <w:sz w:val="20"/>
        </w:rPr>
      </w:pPr>
      <w:r w:rsidRPr="00721567">
        <w:rPr>
          <w:b/>
          <w:sz w:val="20"/>
        </w:rPr>
        <w:t>Question E.3:</w:t>
      </w:r>
      <w:r w:rsidRPr="00721567">
        <w:rPr>
          <w:sz w:val="20"/>
        </w:rPr>
        <w:t xml:space="preserve">  Are there specific security measures that the rules should require?  If yes, please be specific.  </w:t>
      </w:r>
    </w:p>
    <w:p w:rsidR="00CA5AD6" w:rsidRPr="00721567" w:rsidRDefault="00CA5AD6" w:rsidP="00651D87">
      <w:pPr>
        <w:widowControl/>
        <w:spacing w:line="360" w:lineRule="auto"/>
        <w:ind w:left="720"/>
        <w:rPr>
          <w:sz w:val="20"/>
        </w:rPr>
      </w:pPr>
      <w:r w:rsidRPr="00721567">
        <w:rPr>
          <w:b/>
          <w:sz w:val="20"/>
        </w:rPr>
        <w:lastRenderedPageBreak/>
        <w:t>Question E.3</w:t>
      </w:r>
      <w:r w:rsidR="00532E66">
        <w:rPr>
          <w:b/>
          <w:sz w:val="20"/>
        </w:rPr>
        <w:t>.</w:t>
      </w:r>
      <w:r w:rsidRPr="00721567">
        <w:rPr>
          <w:b/>
          <w:sz w:val="20"/>
        </w:rPr>
        <w:t>a</w:t>
      </w:r>
      <w:r w:rsidRPr="00532E66">
        <w:rPr>
          <w:b/>
          <w:sz w:val="20"/>
        </w:rPr>
        <w:t>:</w:t>
      </w:r>
      <w:r w:rsidR="00532E66">
        <w:rPr>
          <w:b/>
          <w:sz w:val="20"/>
        </w:rPr>
        <w:t xml:space="preserve">  </w:t>
      </w:r>
      <w:r w:rsidR="00E86B13" w:rsidRPr="00721567">
        <w:rPr>
          <w:sz w:val="20"/>
        </w:rPr>
        <w:t>Are there user-based industry standards in this area that the Agency should evaluate in</w:t>
      </w:r>
      <w:r w:rsidR="00E86B13" w:rsidRPr="00721567" w:rsidDel="000D1BBD">
        <w:rPr>
          <w:sz w:val="20"/>
        </w:rPr>
        <w:t xml:space="preserve"> </w:t>
      </w:r>
      <w:r w:rsidR="00E86B13" w:rsidRPr="00721567">
        <w:rPr>
          <w:sz w:val="20"/>
        </w:rPr>
        <w:t>adopting in any such rules? Should the rules require:</w:t>
      </w:r>
      <w:r w:rsidRPr="00721567">
        <w:rPr>
          <w:sz w:val="20"/>
        </w:rPr>
        <w:t xml:space="preserve"> </w:t>
      </w:r>
    </w:p>
    <w:p w:rsidR="00CA5AD6" w:rsidRPr="00721567" w:rsidRDefault="00CA5AD6" w:rsidP="00651D87">
      <w:pPr>
        <w:widowControl/>
        <w:spacing w:line="360" w:lineRule="auto"/>
        <w:ind w:left="720"/>
        <w:rPr>
          <w:sz w:val="20"/>
        </w:rPr>
      </w:pPr>
      <w:r w:rsidRPr="00721567">
        <w:rPr>
          <w:b/>
          <w:sz w:val="20"/>
        </w:rPr>
        <w:t>Question E.3</w:t>
      </w:r>
      <w:r w:rsidR="00532E66">
        <w:rPr>
          <w:b/>
          <w:sz w:val="20"/>
        </w:rPr>
        <w:t>.</w:t>
      </w:r>
      <w:r w:rsidRPr="00721567">
        <w:rPr>
          <w:b/>
          <w:sz w:val="20"/>
        </w:rPr>
        <w:t>b:</w:t>
      </w:r>
      <w:r w:rsidR="00532E66">
        <w:rPr>
          <w:b/>
          <w:sz w:val="20"/>
        </w:rPr>
        <w:t xml:space="preserve">  </w:t>
      </w:r>
      <w:r w:rsidR="00DC4036">
        <w:rPr>
          <w:sz w:val="20"/>
        </w:rPr>
        <w:tab/>
      </w:r>
      <w:r w:rsidRPr="00721567">
        <w:rPr>
          <w:sz w:val="20"/>
        </w:rPr>
        <w:t xml:space="preserve">That the RENP use only passwords deemed to have higher security, </w:t>
      </w:r>
      <w:r w:rsidRPr="00721567">
        <w:rPr>
          <w:i/>
          <w:sz w:val="20"/>
        </w:rPr>
        <w:t>e.g.,</w:t>
      </w:r>
      <w:r w:rsidRPr="00721567">
        <w:rPr>
          <w:sz w:val="20"/>
        </w:rPr>
        <w:t xml:space="preserve"> combinations of at least 12 characters, numbers and symbols? </w:t>
      </w:r>
    </w:p>
    <w:p w:rsidR="00CA5AD6" w:rsidRPr="00721567" w:rsidRDefault="00CA5AD6" w:rsidP="00651D87">
      <w:pPr>
        <w:widowControl/>
        <w:spacing w:line="360" w:lineRule="auto"/>
        <w:ind w:left="720"/>
        <w:rPr>
          <w:sz w:val="20"/>
        </w:rPr>
      </w:pPr>
      <w:r w:rsidRPr="00721567">
        <w:rPr>
          <w:b/>
          <w:sz w:val="20"/>
        </w:rPr>
        <w:t>Question E.3</w:t>
      </w:r>
      <w:r w:rsidR="00532E66">
        <w:rPr>
          <w:b/>
          <w:sz w:val="20"/>
        </w:rPr>
        <w:t>.</w:t>
      </w:r>
      <w:r w:rsidRPr="00721567">
        <w:rPr>
          <w:b/>
          <w:sz w:val="20"/>
        </w:rPr>
        <w:t>c</w:t>
      </w:r>
      <w:r w:rsidRPr="00532E66">
        <w:rPr>
          <w:b/>
          <w:sz w:val="20"/>
        </w:rPr>
        <w:t>:</w:t>
      </w:r>
      <w:r w:rsidR="00532E66">
        <w:rPr>
          <w:b/>
          <w:sz w:val="20"/>
        </w:rPr>
        <w:t xml:space="preserve">  </w:t>
      </w:r>
      <w:r w:rsidRPr="00721567">
        <w:rPr>
          <w:sz w:val="20"/>
        </w:rPr>
        <w:t>That the RENP is allowed to use password managers or</w:t>
      </w:r>
      <w:r w:rsidR="00B2303F">
        <w:rPr>
          <w:sz w:val="20"/>
        </w:rPr>
        <w:t xml:space="preserve"> must use</w:t>
      </w:r>
      <w:r w:rsidRPr="00721567">
        <w:rPr>
          <w:sz w:val="20"/>
        </w:rPr>
        <w:t xml:space="preserve"> random password generators? </w:t>
      </w:r>
    </w:p>
    <w:p w:rsidR="00CA5AD6" w:rsidRPr="00721567" w:rsidRDefault="00CA5AD6" w:rsidP="00651D87">
      <w:pPr>
        <w:widowControl/>
        <w:spacing w:line="360" w:lineRule="auto"/>
        <w:ind w:left="720"/>
        <w:rPr>
          <w:sz w:val="20"/>
        </w:rPr>
      </w:pPr>
      <w:r w:rsidRPr="00721567">
        <w:rPr>
          <w:b/>
          <w:sz w:val="20"/>
        </w:rPr>
        <w:t>Question E.3</w:t>
      </w:r>
      <w:r w:rsidR="00532E66">
        <w:rPr>
          <w:b/>
          <w:sz w:val="20"/>
        </w:rPr>
        <w:t>.</w:t>
      </w:r>
      <w:r w:rsidRPr="00721567">
        <w:rPr>
          <w:b/>
          <w:sz w:val="20"/>
        </w:rPr>
        <w:t>d</w:t>
      </w:r>
      <w:r w:rsidRPr="00532E66">
        <w:rPr>
          <w:b/>
          <w:sz w:val="20"/>
        </w:rPr>
        <w:t>:</w:t>
      </w:r>
      <w:r w:rsidR="00532E66">
        <w:rPr>
          <w:b/>
          <w:sz w:val="20"/>
        </w:rPr>
        <w:t xml:space="preserve">  </w:t>
      </w:r>
      <w:r w:rsidR="00DC4036">
        <w:rPr>
          <w:sz w:val="20"/>
        </w:rPr>
        <w:tab/>
      </w:r>
      <w:r w:rsidRPr="00721567">
        <w:rPr>
          <w:sz w:val="20"/>
        </w:rPr>
        <w:t xml:space="preserve">That the RENP may not share or record passwords? </w:t>
      </w:r>
    </w:p>
    <w:p w:rsidR="00CA5AD6" w:rsidRPr="00721567" w:rsidRDefault="00CA5AD6" w:rsidP="00651D87">
      <w:pPr>
        <w:widowControl/>
        <w:spacing w:line="360" w:lineRule="auto"/>
        <w:ind w:left="720"/>
        <w:rPr>
          <w:sz w:val="20"/>
        </w:rPr>
      </w:pPr>
      <w:r w:rsidRPr="00721567">
        <w:rPr>
          <w:b/>
          <w:sz w:val="20"/>
        </w:rPr>
        <w:t>Question E.3</w:t>
      </w:r>
      <w:r w:rsidR="00532E66">
        <w:rPr>
          <w:b/>
          <w:sz w:val="20"/>
        </w:rPr>
        <w:t>.</w:t>
      </w:r>
      <w:r w:rsidRPr="00721567">
        <w:rPr>
          <w:b/>
          <w:sz w:val="20"/>
        </w:rPr>
        <w:t>e:</w:t>
      </w:r>
      <w:r w:rsidR="00532E66">
        <w:rPr>
          <w:b/>
          <w:sz w:val="20"/>
        </w:rPr>
        <w:t xml:space="preserve">  </w:t>
      </w:r>
      <w:r w:rsidRPr="00721567">
        <w:rPr>
          <w:sz w:val="20"/>
        </w:rPr>
        <w:t xml:space="preserve">That </w:t>
      </w:r>
      <w:r w:rsidR="00B2303F">
        <w:rPr>
          <w:sz w:val="20"/>
        </w:rPr>
        <w:t xml:space="preserve">security must include </w:t>
      </w:r>
      <w:r w:rsidRPr="00721567">
        <w:rPr>
          <w:sz w:val="20"/>
        </w:rPr>
        <w:t xml:space="preserve">multi-factor authentication, security questions or biometric measures such as facial or fingerprint recognition? </w:t>
      </w:r>
    </w:p>
    <w:p w:rsidR="00CA5AD6" w:rsidRPr="00721567" w:rsidRDefault="00CA5AD6" w:rsidP="00651D87">
      <w:pPr>
        <w:widowControl/>
        <w:spacing w:line="360" w:lineRule="auto"/>
        <w:ind w:left="720"/>
        <w:rPr>
          <w:sz w:val="20"/>
        </w:rPr>
      </w:pPr>
      <w:r w:rsidRPr="00721567">
        <w:rPr>
          <w:b/>
          <w:sz w:val="20"/>
        </w:rPr>
        <w:t>Question E.3</w:t>
      </w:r>
      <w:r w:rsidR="00532E66">
        <w:rPr>
          <w:b/>
          <w:sz w:val="20"/>
        </w:rPr>
        <w:t>.</w:t>
      </w:r>
      <w:r w:rsidRPr="00721567">
        <w:rPr>
          <w:b/>
          <w:sz w:val="20"/>
        </w:rPr>
        <w:t>f:</w:t>
      </w:r>
      <w:r w:rsidR="00532E66">
        <w:rPr>
          <w:b/>
          <w:sz w:val="20"/>
        </w:rPr>
        <w:t xml:space="preserve">  </w:t>
      </w:r>
      <w:r w:rsidR="00E86B13" w:rsidRPr="00721567">
        <w:rPr>
          <w:sz w:val="20"/>
        </w:rPr>
        <w:t xml:space="preserve">That the RENP regularly change the password to access the computer? </w:t>
      </w:r>
    </w:p>
    <w:p w:rsidR="00CA5AD6" w:rsidRPr="00721567" w:rsidRDefault="00CA5AD6" w:rsidP="00651D87">
      <w:pPr>
        <w:widowControl/>
        <w:spacing w:line="360" w:lineRule="auto"/>
        <w:rPr>
          <w:sz w:val="20"/>
        </w:rPr>
      </w:pPr>
      <w:r w:rsidRPr="00721567">
        <w:rPr>
          <w:b/>
          <w:sz w:val="20"/>
        </w:rPr>
        <w:t>Question E.4</w:t>
      </w:r>
      <w:r w:rsidRPr="00623201">
        <w:rPr>
          <w:b/>
          <w:sz w:val="20"/>
        </w:rPr>
        <w:t>:</w:t>
      </w:r>
      <w:r w:rsidR="00623201">
        <w:rPr>
          <w:sz w:val="20"/>
        </w:rPr>
        <w:t xml:space="preserve">  </w:t>
      </w:r>
      <w:r w:rsidRPr="00721567">
        <w:rPr>
          <w:sz w:val="20"/>
        </w:rPr>
        <w:t xml:space="preserve">Should the rules address </w:t>
      </w:r>
      <w:r w:rsidR="002204AB" w:rsidRPr="00721567">
        <w:rPr>
          <w:sz w:val="20"/>
        </w:rPr>
        <w:t xml:space="preserve">the </w:t>
      </w:r>
      <w:r w:rsidRPr="00721567">
        <w:rPr>
          <w:sz w:val="20"/>
        </w:rPr>
        <w:t>confidentiality and security of the RENP</w:t>
      </w:r>
      <w:r w:rsidR="00E86B13" w:rsidRPr="00721567">
        <w:rPr>
          <w:sz w:val="20"/>
        </w:rPr>
        <w:t>’</w:t>
      </w:r>
      <w:r w:rsidRPr="00721567">
        <w:rPr>
          <w:sz w:val="20"/>
        </w:rPr>
        <w:t xml:space="preserve">s connection to the Internet? </w:t>
      </w:r>
    </w:p>
    <w:p w:rsidR="00CA5AD6" w:rsidRPr="00721567" w:rsidRDefault="00CA5AD6" w:rsidP="00651D87">
      <w:pPr>
        <w:widowControl/>
        <w:spacing w:line="360" w:lineRule="auto"/>
        <w:rPr>
          <w:sz w:val="20"/>
        </w:rPr>
      </w:pPr>
      <w:r w:rsidRPr="00721567">
        <w:rPr>
          <w:b/>
          <w:sz w:val="20"/>
        </w:rPr>
        <w:t xml:space="preserve">Question E.5: </w:t>
      </w:r>
      <w:r w:rsidRPr="00721567">
        <w:rPr>
          <w:sz w:val="20"/>
        </w:rPr>
        <w:t xml:space="preserve"> </w:t>
      </w:r>
      <w:r w:rsidR="00664A95" w:rsidRPr="00721567">
        <w:rPr>
          <w:sz w:val="20"/>
        </w:rPr>
        <w:t>S</w:t>
      </w:r>
      <w:r w:rsidRPr="00721567">
        <w:rPr>
          <w:sz w:val="20"/>
        </w:rPr>
        <w:t xml:space="preserve">hould the rules </w:t>
      </w:r>
      <w:r w:rsidR="009D34B5" w:rsidRPr="00721567">
        <w:rPr>
          <w:sz w:val="20"/>
        </w:rPr>
        <w:t xml:space="preserve">limit or even </w:t>
      </w:r>
      <w:r w:rsidR="00664A95" w:rsidRPr="00721567">
        <w:rPr>
          <w:sz w:val="20"/>
        </w:rPr>
        <w:t xml:space="preserve">prohibit the </w:t>
      </w:r>
      <w:r w:rsidR="002B1852" w:rsidRPr="00721567">
        <w:rPr>
          <w:sz w:val="20"/>
        </w:rPr>
        <w:t>administration by a</w:t>
      </w:r>
      <w:r w:rsidR="00F20350">
        <w:rPr>
          <w:sz w:val="20"/>
        </w:rPr>
        <w:t>n</w:t>
      </w:r>
      <w:r w:rsidR="002B1852" w:rsidRPr="00721567">
        <w:rPr>
          <w:sz w:val="20"/>
        </w:rPr>
        <w:t xml:space="preserve"> RENP </w:t>
      </w:r>
      <w:r w:rsidR="00664A95" w:rsidRPr="00721567">
        <w:rPr>
          <w:sz w:val="20"/>
        </w:rPr>
        <w:t>of REN</w:t>
      </w:r>
      <w:r w:rsidR="002B1852" w:rsidRPr="00721567">
        <w:rPr>
          <w:sz w:val="20"/>
        </w:rPr>
        <w:t xml:space="preserve"> acts</w:t>
      </w:r>
      <w:r w:rsidR="00664A95" w:rsidRPr="00721567">
        <w:rPr>
          <w:sz w:val="20"/>
        </w:rPr>
        <w:t xml:space="preserve"> </w:t>
      </w:r>
      <w:r w:rsidRPr="00721567">
        <w:rPr>
          <w:sz w:val="20"/>
        </w:rPr>
        <w:t xml:space="preserve">in spaces </w:t>
      </w:r>
      <w:r w:rsidR="002204AB" w:rsidRPr="00721567">
        <w:rPr>
          <w:sz w:val="20"/>
        </w:rPr>
        <w:t>other than those over which the RENP has exclusive control</w:t>
      </w:r>
      <w:r w:rsidR="00664A95" w:rsidRPr="00721567">
        <w:rPr>
          <w:sz w:val="20"/>
        </w:rPr>
        <w:t xml:space="preserve"> in order to ensure the RENA requirements for confidentiality </w:t>
      </w:r>
      <w:r w:rsidR="002204AB" w:rsidRPr="00721567">
        <w:rPr>
          <w:sz w:val="20"/>
        </w:rPr>
        <w:t xml:space="preserve">and security </w:t>
      </w:r>
      <w:r w:rsidR="00664A95" w:rsidRPr="00721567">
        <w:rPr>
          <w:sz w:val="20"/>
        </w:rPr>
        <w:t>are met</w:t>
      </w:r>
      <w:r w:rsidRPr="00721567">
        <w:rPr>
          <w:sz w:val="20"/>
        </w:rPr>
        <w:t xml:space="preserve">?  Examples </w:t>
      </w:r>
      <w:r w:rsidR="00E974A1" w:rsidRPr="00721567">
        <w:rPr>
          <w:sz w:val="20"/>
        </w:rPr>
        <w:t xml:space="preserve">of spaces over which the RENP does not have exclusive control </w:t>
      </w:r>
      <w:r w:rsidRPr="00721567">
        <w:rPr>
          <w:sz w:val="20"/>
        </w:rPr>
        <w:t>might be a coffee shop</w:t>
      </w:r>
      <w:r w:rsidR="00E974A1" w:rsidRPr="00721567">
        <w:rPr>
          <w:sz w:val="20"/>
        </w:rPr>
        <w:t>,</w:t>
      </w:r>
      <w:r w:rsidRPr="00721567">
        <w:rPr>
          <w:sz w:val="20"/>
        </w:rPr>
        <w:t xml:space="preserve"> an airport</w:t>
      </w:r>
      <w:r w:rsidR="00E974A1" w:rsidRPr="00721567">
        <w:rPr>
          <w:sz w:val="20"/>
        </w:rPr>
        <w:t xml:space="preserve"> lounge, or even an employer’s open space w</w:t>
      </w:r>
      <w:r w:rsidR="00D55B83" w:rsidRPr="00721567">
        <w:rPr>
          <w:sz w:val="20"/>
        </w:rPr>
        <w:t>h</w:t>
      </w:r>
      <w:r w:rsidR="00E974A1" w:rsidRPr="00721567">
        <w:rPr>
          <w:sz w:val="20"/>
        </w:rPr>
        <w:t>ere other employees are also working</w:t>
      </w:r>
      <w:r w:rsidRPr="00721567">
        <w:rPr>
          <w:sz w:val="20"/>
        </w:rPr>
        <w:t xml:space="preserve">. </w:t>
      </w:r>
    </w:p>
    <w:p w:rsidR="00CA5AD6" w:rsidRPr="00721567" w:rsidRDefault="00CA5AD6" w:rsidP="00651D87">
      <w:pPr>
        <w:widowControl/>
        <w:spacing w:line="360" w:lineRule="auto"/>
        <w:rPr>
          <w:sz w:val="20"/>
        </w:rPr>
      </w:pPr>
      <w:r w:rsidRPr="00721567">
        <w:rPr>
          <w:b/>
          <w:sz w:val="20"/>
        </w:rPr>
        <w:t xml:space="preserve">Question E.6: </w:t>
      </w:r>
      <w:r w:rsidRPr="00721567">
        <w:rPr>
          <w:sz w:val="20"/>
        </w:rPr>
        <w:t xml:space="preserve"> If the rules allow </w:t>
      </w:r>
      <w:r w:rsidR="002B1852" w:rsidRPr="00721567">
        <w:rPr>
          <w:sz w:val="20"/>
        </w:rPr>
        <w:t xml:space="preserve">the RENP to administer </w:t>
      </w:r>
      <w:r w:rsidRPr="00721567">
        <w:rPr>
          <w:sz w:val="20"/>
        </w:rPr>
        <w:t>REN acts in public spaces</w:t>
      </w:r>
      <w:r w:rsidR="002204AB" w:rsidRPr="00721567">
        <w:rPr>
          <w:sz w:val="20"/>
        </w:rPr>
        <w:t xml:space="preserve"> or spaces other than those under the exclusive control of the RENP</w:t>
      </w:r>
      <w:r w:rsidRPr="00721567">
        <w:rPr>
          <w:sz w:val="20"/>
        </w:rPr>
        <w:t xml:space="preserve">, how should the rules ensure both confidentiality and security?  </w:t>
      </w:r>
    </w:p>
    <w:p w:rsidR="00CA5AD6" w:rsidRPr="00721567" w:rsidRDefault="00CA5AD6" w:rsidP="00651D87">
      <w:pPr>
        <w:widowControl/>
        <w:spacing w:line="360" w:lineRule="auto"/>
        <w:ind w:left="720"/>
        <w:rPr>
          <w:sz w:val="20"/>
        </w:rPr>
      </w:pPr>
      <w:r w:rsidRPr="00721567">
        <w:rPr>
          <w:b/>
          <w:sz w:val="20"/>
        </w:rPr>
        <w:t>Question E.6</w:t>
      </w:r>
      <w:r w:rsidR="00532E66">
        <w:rPr>
          <w:b/>
          <w:sz w:val="20"/>
        </w:rPr>
        <w:t>.</w:t>
      </w:r>
      <w:r w:rsidRPr="00721567">
        <w:rPr>
          <w:b/>
          <w:sz w:val="20"/>
        </w:rPr>
        <w:t>a:</w:t>
      </w:r>
      <w:r w:rsidR="00532E66">
        <w:rPr>
          <w:b/>
          <w:sz w:val="20"/>
        </w:rPr>
        <w:t xml:space="preserve">  </w:t>
      </w:r>
      <w:r w:rsidRPr="00721567">
        <w:rPr>
          <w:sz w:val="20"/>
        </w:rPr>
        <w:t>Should the rules say that an RENP cannot perform a REN over public networks?</w:t>
      </w:r>
    </w:p>
    <w:p w:rsidR="00CA5AD6" w:rsidRPr="00721567" w:rsidRDefault="00CA5AD6" w:rsidP="00651D87">
      <w:pPr>
        <w:widowControl/>
        <w:spacing w:line="360" w:lineRule="auto"/>
        <w:ind w:left="720"/>
        <w:rPr>
          <w:sz w:val="20"/>
        </w:rPr>
      </w:pPr>
      <w:r w:rsidRPr="00721567">
        <w:rPr>
          <w:b/>
          <w:sz w:val="20"/>
        </w:rPr>
        <w:t>Question E.6</w:t>
      </w:r>
      <w:r w:rsidR="00532E66">
        <w:rPr>
          <w:b/>
          <w:sz w:val="20"/>
        </w:rPr>
        <w:t>.</w:t>
      </w:r>
      <w:r w:rsidRPr="00721567">
        <w:rPr>
          <w:b/>
          <w:sz w:val="20"/>
        </w:rPr>
        <w:t>b:</w:t>
      </w:r>
      <w:r w:rsidR="00532E66">
        <w:rPr>
          <w:b/>
          <w:sz w:val="20"/>
        </w:rPr>
        <w:t xml:space="preserve">  </w:t>
      </w:r>
      <w:r w:rsidR="00DC4036">
        <w:rPr>
          <w:sz w:val="20"/>
        </w:rPr>
        <w:tab/>
      </w:r>
      <w:r w:rsidRPr="00721567">
        <w:rPr>
          <w:sz w:val="20"/>
        </w:rPr>
        <w:t xml:space="preserve">If the rules allow REN over public networks, must the network be password protected?  If yes, using what protocols?  </w:t>
      </w:r>
    </w:p>
    <w:p w:rsidR="00CA5AD6" w:rsidRPr="00721567" w:rsidRDefault="00CA5AD6" w:rsidP="00651D87">
      <w:pPr>
        <w:widowControl/>
        <w:spacing w:line="360" w:lineRule="auto"/>
        <w:ind w:left="720"/>
        <w:rPr>
          <w:sz w:val="20"/>
        </w:rPr>
      </w:pPr>
      <w:r w:rsidRPr="00721567">
        <w:rPr>
          <w:b/>
          <w:sz w:val="20"/>
        </w:rPr>
        <w:t>Question E.6</w:t>
      </w:r>
      <w:r w:rsidR="00532E66">
        <w:rPr>
          <w:b/>
          <w:sz w:val="20"/>
        </w:rPr>
        <w:t>.</w:t>
      </w:r>
      <w:r w:rsidRPr="00721567">
        <w:rPr>
          <w:b/>
          <w:sz w:val="20"/>
        </w:rPr>
        <w:t>c:</w:t>
      </w:r>
      <w:r w:rsidR="00532E66">
        <w:rPr>
          <w:b/>
          <w:sz w:val="20"/>
        </w:rPr>
        <w:t xml:space="preserve">  </w:t>
      </w:r>
      <w:r w:rsidRPr="00721567">
        <w:rPr>
          <w:sz w:val="20"/>
        </w:rPr>
        <w:t xml:space="preserve">If the rules allow REN over public networks, should the rules require use of a VPN or other security protections?  If yes, what are those other security protections?  Be specific. </w:t>
      </w:r>
    </w:p>
    <w:p w:rsidR="00CA5AD6" w:rsidRPr="00721567" w:rsidRDefault="00CA5AD6" w:rsidP="00651D87">
      <w:pPr>
        <w:widowControl/>
        <w:spacing w:line="360" w:lineRule="auto"/>
        <w:rPr>
          <w:sz w:val="20"/>
        </w:rPr>
      </w:pPr>
      <w:r w:rsidRPr="00721567">
        <w:rPr>
          <w:b/>
          <w:sz w:val="20"/>
        </w:rPr>
        <w:t xml:space="preserve">Question E.7:  </w:t>
      </w:r>
      <w:r w:rsidRPr="00721567">
        <w:rPr>
          <w:sz w:val="20"/>
        </w:rPr>
        <w:t>Are there any other issues that the rules should address to ensure confidentiality and security of the RENP</w:t>
      </w:r>
      <w:r w:rsidR="00E86B13" w:rsidRPr="00721567">
        <w:rPr>
          <w:sz w:val="20"/>
        </w:rPr>
        <w:t>’</w:t>
      </w:r>
      <w:r w:rsidRPr="00721567">
        <w:rPr>
          <w:sz w:val="20"/>
        </w:rPr>
        <w:t xml:space="preserve">s access to the Internet?  </w:t>
      </w:r>
    </w:p>
    <w:p w:rsidR="00CA5AD6" w:rsidRPr="00721567" w:rsidRDefault="00CA5AD6" w:rsidP="00651D87">
      <w:pPr>
        <w:widowControl/>
        <w:spacing w:line="360" w:lineRule="auto"/>
        <w:ind w:left="720"/>
        <w:rPr>
          <w:sz w:val="20"/>
        </w:rPr>
      </w:pPr>
      <w:r w:rsidRPr="00721567">
        <w:rPr>
          <w:b/>
          <w:sz w:val="20"/>
        </w:rPr>
        <w:t>Question E.7</w:t>
      </w:r>
      <w:r w:rsidR="00532E66">
        <w:rPr>
          <w:b/>
          <w:sz w:val="20"/>
        </w:rPr>
        <w:t>.</w:t>
      </w:r>
      <w:r w:rsidRPr="00721567">
        <w:rPr>
          <w:b/>
          <w:sz w:val="20"/>
        </w:rPr>
        <w:t>a</w:t>
      </w:r>
      <w:r w:rsidRPr="00532E66">
        <w:rPr>
          <w:b/>
          <w:sz w:val="20"/>
        </w:rPr>
        <w:t>:</w:t>
      </w:r>
      <w:r w:rsidR="00532E66">
        <w:rPr>
          <w:sz w:val="20"/>
        </w:rPr>
        <w:t xml:space="preserve">  </w:t>
      </w:r>
      <w:r w:rsidRPr="00721567">
        <w:rPr>
          <w:sz w:val="20"/>
        </w:rPr>
        <w:t>If yes, what are the issues and how should the rules address them?  Please be specific.</w:t>
      </w:r>
    </w:p>
    <w:p w:rsidR="00CA5AD6" w:rsidRPr="00721567" w:rsidRDefault="00CA5AD6" w:rsidP="00651D87">
      <w:pPr>
        <w:widowControl/>
        <w:spacing w:line="360" w:lineRule="auto"/>
        <w:ind w:left="720"/>
        <w:rPr>
          <w:sz w:val="20"/>
        </w:rPr>
      </w:pPr>
      <w:r w:rsidRPr="00721567">
        <w:rPr>
          <w:b/>
          <w:sz w:val="20"/>
        </w:rPr>
        <w:t>Question E.7</w:t>
      </w:r>
      <w:r w:rsidR="00532E66">
        <w:rPr>
          <w:b/>
          <w:sz w:val="20"/>
        </w:rPr>
        <w:t>.</w:t>
      </w:r>
      <w:r w:rsidRPr="00721567">
        <w:rPr>
          <w:b/>
          <w:sz w:val="20"/>
        </w:rPr>
        <w:t>b</w:t>
      </w:r>
      <w:r w:rsidRPr="00532E66">
        <w:rPr>
          <w:b/>
          <w:sz w:val="20"/>
        </w:rPr>
        <w:t>:</w:t>
      </w:r>
      <w:r w:rsidR="00532E66">
        <w:rPr>
          <w:sz w:val="20"/>
        </w:rPr>
        <w:t xml:space="preserve">  </w:t>
      </w:r>
      <w:r w:rsidR="00DC4036">
        <w:rPr>
          <w:sz w:val="20"/>
        </w:rPr>
        <w:tab/>
      </w:r>
      <w:r w:rsidRPr="00721567">
        <w:rPr>
          <w:sz w:val="20"/>
        </w:rPr>
        <w:t xml:space="preserve">Are there any industry standards in this regard that </w:t>
      </w:r>
      <w:r w:rsidR="00B2303F">
        <w:rPr>
          <w:sz w:val="20"/>
        </w:rPr>
        <w:t>the Agency</w:t>
      </w:r>
      <w:r w:rsidRPr="00721567">
        <w:rPr>
          <w:sz w:val="20"/>
        </w:rPr>
        <w:t xml:space="preserve"> should consider including in the rules?  If yes, what are they?</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RENA requires the RENP to ensure that there is no “unauthorized interception” of REN as the act is being performed.</w:t>
      </w:r>
      <w:r w:rsidRPr="00721567">
        <w:rPr>
          <w:rStyle w:val="FootnoteReference"/>
          <w:sz w:val="20"/>
          <w:vertAlign w:val="superscript"/>
        </w:rPr>
        <w:footnoteReference w:id="44"/>
      </w:r>
      <w:r w:rsidRPr="00721567">
        <w:rPr>
          <w:sz w:val="20"/>
          <w:vertAlign w:val="superscript"/>
        </w:rPr>
        <w:t xml:space="preserve"> </w:t>
      </w:r>
      <w:r w:rsidRPr="00721567">
        <w:rPr>
          <w:sz w:val="20"/>
        </w:rPr>
        <w:t xml:space="preserve">For example, hacking would be “unauthorized interception”.  </w:t>
      </w:r>
    </w:p>
    <w:p w:rsidR="00F42DBD" w:rsidRDefault="00F42DBD" w:rsidP="00651D87">
      <w:pPr>
        <w:widowControl/>
        <w:spacing w:line="360" w:lineRule="auto"/>
        <w:rPr>
          <w:b/>
          <w:sz w:val="20"/>
        </w:rPr>
      </w:pPr>
    </w:p>
    <w:p w:rsidR="00CA5AD6" w:rsidRPr="00721567" w:rsidRDefault="00CA5AD6" w:rsidP="00651D87">
      <w:pPr>
        <w:widowControl/>
        <w:spacing w:line="360" w:lineRule="auto"/>
        <w:rPr>
          <w:sz w:val="20"/>
        </w:rPr>
      </w:pPr>
      <w:r w:rsidRPr="00721567">
        <w:rPr>
          <w:b/>
          <w:sz w:val="20"/>
        </w:rPr>
        <w:t>Question E.8:</w:t>
      </w:r>
      <w:r w:rsidRPr="00721567">
        <w:rPr>
          <w:sz w:val="20"/>
        </w:rPr>
        <w:t xml:space="preserve">  Should the rules define “unauthorized interception”?  If so, how?  </w:t>
      </w:r>
    </w:p>
    <w:p w:rsidR="00CA5AD6" w:rsidRPr="00721567" w:rsidRDefault="00CA5AD6" w:rsidP="00651D87">
      <w:pPr>
        <w:widowControl/>
        <w:spacing w:line="360" w:lineRule="auto"/>
        <w:ind w:left="720"/>
        <w:rPr>
          <w:sz w:val="20"/>
        </w:rPr>
      </w:pPr>
      <w:r w:rsidRPr="00721567">
        <w:rPr>
          <w:b/>
          <w:sz w:val="20"/>
        </w:rPr>
        <w:t>Question E.8</w:t>
      </w:r>
      <w:r w:rsidR="00532E66">
        <w:rPr>
          <w:b/>
          <w:sz w:val="20"/>
        </w:rPr>
        <w:t>.</w:t>
      </w:r>
      <w:r w:rsidRPr="00721567">
        <w:rPr>
          <w:b/>
          <w:sz w:val="20"/>
        </w:rPr>
        <w:t>a</w:t>
      </w:r>
      <w:r w:rsidRPr="00532E66">
        <w:rPr>
          <w:b/>
          <w:sz w:val="20"/>
        </w:rPr>
        <w:t>:</w:t>
      </w:r>
      <w:r w:rsidR="00532E66">
        <w:rPr>
          <w:b/>
          <w:sz w:val="20"/>
        </w:rPr>
        <w:t xml:space="preserve">  </w:t>
      </w:r>
      <w:r w:rsidR="001568AA" w:rsidRPr="00721567">
        <w:rPr>
          <w:sz w:val="20"/>
        </w:rPr>
        <w:t xml:space="preserve">Is there an industry standard definition or other definition of “unauthorized interception” the Agency should consider adopting? </w:t>
      </w:r>
    </w:p>
    <w:p w:rsidR="00CA5AD6" w:rsidRPr="00721567" w:rsidRDefault="00CA5AD6" w:rsidP="00651D87">
      <w:pPr>
        <w:widowControl/>
        <w:spacing w:line="360" w:lineRule="auto"/>
        <w:ind w:left="720"/>
        <w:rPr>
          <w:sz w:val="20"/>
        </w:rPr>
      </w:pPr>
      <w:r w:rsidRPr="00721567">
        <w:rPr>
          <w:b/>
          <w:sz w:val="20"/>
        </w:rPr>
        <w:t>Question E.8</w:t>
      </w:r>
      <w:r w:rsidR="00532E66">
        <w:rPr>
          <w:b/>
          <w:sz w:val="20"/>
        </w:rPr>
        <w:t>.</w:t>
      </w:r>
      <w:r w:rsidRPr="00721567">
        <w:rPr>
          <w:b/>
          <w:sz w:val="20"/>
        </w:rPr>
        <w:t>b</w:t>
      </w:r>
      <w:r w:rsidRPr="00532E66">
        <w:rPr>
          <w:b/>
          <w:sz w:val="20"/>
        </w:rPr>
        <w:t>:</w:t>
      </w:r>
      <w:r w:rsidR="00532E66">
        <w:rPr>
          <w:b/>
          <w:sz w:val="20"/>
        </w:rPr>
        <w:t xml:space="preserve">  </w:t>
      </w:r>
      <w:r w:rsidR="00DC4036">
        <w:rPr>
          <w:sz w:val="20"/>
        </w:rPr>
        <w:tab/>
      </w:r>
      <w:r w:rsidR="001568AA" w:rsidRPr="00721567">
        <w:rPr>
          <w:sz w:val="20"/>
        </w:rPr>
        <w:t xml:space="preserve">Is someone looking over the shoulder of the RNP during the RON transaction “unauthorized interception”?  </w:t>
      </w:r>
    </w:p>
    <w:p w:rsidR="00CA5AD6" w:rsidRPr="00721567" w:rsidRDefault="00CA5AD6" w:rsidP="00651D87">
      <w:pPr>
        <w:widowControl/>
        <w:spacing w:line="360" w:lineRule="auto"/>
        <w:ind w:left="720"/>
        <w:rPr>
          <w:sz w:val="20"/>
        </w:rPr>
      </w:pPr>
      <w:r w:rsidRPr="00721567">
        <w:rPr>
          <w:b/>
          <w:sz w:val="20"/>
        </w:rPr>
        <w:lastRenderedPageBreak/>
        <w:t>Question E.8</w:t>
      </w:r>
      <w:r w:rsidR="00532E66">
        <w:rPr>
          <w:b/>
          <w:sz w:val="20"/>
        </w:rPr>
        <w:t>.</w:t>
      </w:r>
      <w:r w:rsidRPr="00721567">
        <w:rPr>
          <w:b/>
          <w:sz w:val="20"/>
        </w:rPr>
        <w:t>c</w:t>
      </w:r>
      <w:r w:rsidR="001568AA" w:rsidRPr="00721567">
        <w:rPr>
          <w:b/>
          <w:sz w:val="20"/>
        </w:rPr>
        <w:t>:</w:t>
      </w:r>
      <w:r w:rsidR="00532E66">
        <w:rPr>
          <w:b/>
          <w:sz w:val="20"/>
        </w:rPr>
        <w:t xml:space="preserve">  </w:t>
      </w:r>
      <w:r w:rsidR="001568AA" w:rsidRPr="00721567">
        <w:rPr>
          <w:sz w:val="20"/>
        </w:rPr>
        <w:t>What else should be included in “unauthorized interception”?</w:t>
      </w:r>
      <w:r w:rsidRPr="00721567">
        <w:rPr>
          <w:sz w:val="20"/>
        </w:rPr>
        <w:t xml:space="preserve"> </w:t>
      </w:r>
    </w:p>
    <w:p w:rsidR="00CA5AD6" w:rsidRPr="00721567" w:rsidRDefault="00CA5AD6" w:rsidP="00651D87">
      <w:pPr>
        <w:widowControl/>
        <w:spacing w:line="360" w:lineRule="auto"/>
        <w:ind w:left="720"/>
        <w:rPr>
          <w:sz w:val="20"/>
        </w:rPr>
      </w:pPr>
      <w:r w:rsidRPr="00721567">
        <w:rPr>
          <w:b/>
          <w:sz w:val="20"/>
        </w:rPr>
        <w:t>Question E.8</w:t>
      </w:r>
      <w:r w:rsidR="00532E66">
        <w:rPr>
          <w:b/>
          <w:sz w:val="20"/>
        </w:rPr>
        <w:t>.</w:t>
      </w:r>
      <w:r w:rsidRPr="00721567">
        <w:rPr>
          <w:b/>
          <w:sz w:val="20"/>
        </w:rPr>
        <w:t>d:</w:t>
      </w:r>
      <w:r w:rsidR="00532E66">
        <w:rPr>
          <w:b/>
          <w:sz w:val="20"/>
        </w:rPr>
        <w:t xml:space="preserve">  </w:t>
      </w:r>
      <w:r w:rsidRPr="00721567">
        <w:rPr>
          <w:sz w:val="20"/>
        </w:rPr>
        <w:t>Should the rules apply this requirement to the RENP and the platforms and, if so, how?</w:t>
      </w:r>
    </w:p>
    <w:p w:rsidR="00CA5AD6" w:rsidRPr="00721567" w:rsidRDefault="00CA5AD6" w:rsidP="00651D87">
      <w:pPr>
        <w:widowControl/>
        <w:spacing w:line="360" w:lineRule="auto"/>
        <w:rPr>
          <w:sz w:val="20"/>
        </w:rPr>
      </w:pPr>
    </w:p>
    <w:p w:rsidR="004B2BD9" w:rsidRDefault="001568AA" w:rsidP="00651D87">
      <w:pPr>
        <w:widowControl/>
        <w:spacing w:line="360" w:lineRule="auto"/>
        <w:rPr>
          <w:sz w:val="20"/>
        </w:rPr>
      </w:pPr>
      <w:r w:rsidRPr="00721567">
        <w:rPr>
          <w:sz w:val="20"/>
        </w:rPr>
        <w:t xml:space="preserve">RENA requires secure storage of the electronic journal and CT Records, and prompt reporting upon discovering permanent data loss, unauthorized use, loss of use or security compromise.  RENA is silent with regard to an RENP’s obligation to </w:t>
      </w:r>
      <w:r w:rsidR="00CA5AD6" w:rsidRPr="00721567">
        <w:rPr>
          <w:sz w:val="20"/>
        </w:rPr>
        <w:t>confirm the continuing accessibility of the electronic journal and CT Recordings</w:t>
      </w:r>
      <w:r w:rsidRPr="00721567">
        <w:rPr>
          <w:sz w:val="20"/>
        </w:rPr>
        <w:t>.</w:t>
      </w:r>
      <w:r w:rsidR="00517FB1" w:rsidRPr="00721567">
        <w:rPr>
          <w:sz w:val="20"/>
          <w:vertAlign w:val="superscript"/>
        </w:rPr>
        <w:footnoteReference w:id="45"/>
      </w:r>
      <w:r w:rsidRPr="00721567">
        <w:rPr>
          <w:sz w:val="20"/>
          <w:vertAlign w:val="superscript"/>
        </w:rPr>
        <w:t xml:space="preserve"> </w:t>
      </w:r>
      <w:r w:rsidRPr="00721567">
        <w:rPr>
          <w:sz w:val="20"/>
        </w:rPr>
        <w:t xml:space="preserve"> Without rules requiring </w:t>
      </w:r>
      <w:r w:rsidR="0096549E" w:rsidRPr="00721567">
        <w:rPr>
          <w:sz w:val="20"/>
        </w:rPr>
        <w:t>periodic</w:t>
      </w:r>
      <w:r w:rsidRPr="00721567">
        <w:rPr>
          <w:sz w:val="20"/>
        </w:rPr>
        <w:t xml:space="preserve"> confirm</w:t>
      </w:r>
      <w:r w:rsidR="0096549E" w:rsidRPr="00721567">
        <w:rPr>
          <w:sz w:val="20"/>
        </w:rPr>
        <w:t>ation of</w:t>
      </w:r>
      <w:r w:rsidRPr="00721567">
        <w:rPr>
          <w:sz w:val="20"/>
        </w:rPr>
        <w:t xml:space="preserve"> the integrity of the electronic journal and CT Records, an RENP could</w:t>
      </w:r>
      <w:r w:rsidR="0096549E" w:rsidRPr="00721567">
        <w:rPr>
          <w:sz w:val="20"/>
        </w:rPr>
        <w:t xml:space="preserve"> conclude that no periodic review is the best risk mitigation strategy for the RENP.  </w:t>
      </w:r>
    </w:p>
    <w:p w:rsidR="004B2BD9" w:rsidRDefault="004B2BD9" w:rsidP="00651D87">
      <w:pPr>
        <w:widowControl/>
        <w:spacing w:line="360" w:lineRule="auto"/>
        <w:rPr>
          <w:sz w:val="20"/>
        </w:rPr>
      </w:pPr>
    </w:p>
    <w:p w:rsidR="00A67755" w:rsidRPr="00721567" w:rsidRDefault="00A67755" w:rsidP="00651D87">
      <w:pPr>
        <w:widowControl/>
        <w:spacing w:line="360" w:lineRule="auto"/>
        <w:rPr>
          <w:sz w:val="20"/>
        </w:rPr>
      </w:pPr>
      <w:r w:rsidRPr="00721567">
        <w:rPr>
          <w:sz w:val="20"/>
        </w:rPr>
        <w:t>The Secretary has</w:t>
      </w:r>
      <w:r w:rsidR="0096549E" w:rsidRPr="00721567">
        <w:rPr>
          <w:sz w:val="20"/>
        </w:rPr>
        <w:t xml:space="preserve"> authority to adopt rules related to</w:t>
      </w:r>
      <w:r w:rsidRPr="00721567">
        <w:rPr>
          <w:sz w:val="20"/>
        </w:rPr>
        <w:t xml:space="preserve">: </w:t>
      </w:r>
      <w:r w:rsidR="0096549E" w:rsidRPr="00721567">
        <w:rPr>
          <w:sz w:val="20"/>
        </w:rPr>
        <w:t xml:space="preserve"> security standards, measures and other matters related to communication technology, the security of the electronic journal, and the requirements of secure storage of CT Recordings and the electronic journal</w:t>
      </w:r>
      <w:r w:rsidR="0059114C" w:rsidRPr="00721567">
        <w:rPr>
          <w:sz w:val="20"/>
        </w:rPr>
        <w:t>.</w:t>
      </w:r>
      <w:r w:rsidR="0096549E" w:rsidRPr="00721567">
        <w:rPr>
          <w:sz w:val="20"/>
          <w:vertAlign w:val="superscript"/>
        </w:rPr>
        <w:footnoteReference w:id="46"/>
      </w:r>
      <w:r w:rsidR="0096549E" w:rsidRPr="00721567">
        <w:rPr>
          <w:sz w:val="20"/>
          <w:vertAlign w:val="superscript"/>
        </w:rPr>
        <w:t xml:space="preserve"> </w:t>
      </w:r>
      <w:r w:rsidRPr="00721567">
        <w:rPr>
          <w:sz w:val="20"/>
          <w:vertAlign w:val="superscript"/>
        </w:rPr>
        <w:t xml:space="preserve"> </w:t>
      </w:r>
      <w:r w:rsidRPr="00721567">
        <w:rPr>
          <w:sz w:val="20"/>
        </w:rPr>
        <w:t>In connection with that authority, the Secretary requests comment in response to the following questions:</w:t>
      </w:r>
    </w:p>
    <w:p w:rsidR="00CA5AD6" w:rsidRPr="00721567" w:rsidRDefault="00CA5AD6" w:rsidP="00651D87">
      <w:pPr>
        <w:widowControl/>
        <w:spacing w:line="360" w:lineRule="auto"/>
        <w:rPr>
          <w:sz w:val="20"/>
        </w:rPr>
      </w:pPr>
      <w:r w:rsidRPr="00721567">
        <w:rPr>
          <w:b/>
          <w:sz w:val="20"/>
        </w:rPr>
        <w:t>Question E.9:</w:t>
      </w:r>
      <w:r w:rsidRPr="00721567">
        <w:rPr>
          <w:sz w:val="20"/>
        </w:rPr>
        <w:t xml:space="preserve">  Should the rules require the RENP to periodically confirm that the electronic journal and CT Recordings are fully accessible and properly secure? </w:t>
      </w:r>
    </w:p>
    <w:p w:rsidR="00CA5AD6" w:rsidRPr="00721567" w:rsidRDefault="00CA5AD6" w:rsidP="00651D87">
      <w:pPr>
        <w:widowControl/>
        <w:spacing w:line="360" w:lineRule="auto"/>
        <w:ind w:left="720"/>
        <w:rPr>
          <w:sz w:val="20"/>
        </w:rPr>
      </w:pPr>
      <w:r w:rsidRPr="00721567">
        <w:rPr>
          <w:b/>
          <w:sz w:val="20"/>
        </w:rPr>
        <w:t>Question E.9</w:t>
      </w:r>
      <w:r w:rsidR="00532E66">
        <w:rPr>
          <w:b/>
          <w:sz w:val="20"/>
        </w:rPr>
        <w:t>.</w:t>
      </w:r>
      <w:r w:rsidRPr="00721567">
        <w:rPr>
          <w:b/>
          <w:sz w:val="20"/>
        </w:rPr>
        <w:t>a:</w:t>
      </w:r>
      <w:r w:rsidR="00532E66">
        <w:rPr>
          <w:b/>
          <w:sz w:val="20"/>
        </w:rPr>
        <w:t xml:space="preserve">  </w:t>
      </w:r>
      <w:r w:rsidRPr="00721567">
        <w:rPr>
          <w:sz w:val="20"/>
        </w:rPr>
        <w:t xml:space="preserve">If yes, what is an appropriate periodicity of review?  </w:t>
      </w:r>
    </w:p>
    <w:p w:rsidR="00CA5AD6" w:rsidRPr="00721567" w:rsidRDefault="00CA5AD6" w:rsidP="00651D87">
      <w:pPr>
        <w:widowControl/>
        <w:spacing w:line="360" w:lineRule="auto"/>
        <w:ind w:left="720"/>
        <w:rPr>
          <w:sz w:val="20"/>
        </w:rPr>
      </w:pPr>
      <w:r w:rsidRPr="00721567">
        <w:rPr>
          <w:b/>
          <w:sz w:val="20"/>
        </w:rPr>
        <w:t>Question E.9</w:t>
      </w:r>
      <w:r w:rsidR="00532E66">
        <w:rPr>
          <w:b/>
          <w:sz w:val="20"/>
        </w:rPr>
        <w:t>.</w:t>
      </w:r>
      <w:r w:rsidRPr="00721567">
        <w:rPr>
          <w:b/>
          <w:sz w:val="20"/>
        </w:rPr>
        <w:t>b:</w:t>
      </w:r>
      <w:r w:rsidR="00532E66">
        <w:rPr>
          <w:b/>
          <w:sz w:val="20"/>
        </w:rPr>
        <w:t xml:space="preserve">  </w:t>
      </w:r>
      <w:r w:rsidR="00DC4036">
        <w:rPr>
          <w:sz w:val="20"/>
        </w:rPr>
        <w:tab/>
      </w:r>
      <w:r w:rsidRPr="00721567">
        <w:rPr>
          <w:sz w:val="20"/>
        </w:rPr>
        <w:t>How many entries and recordings would the RENP need to check to constitute confirmation?</w:t>
      </w:r>
    </w:p>
    <w:p w:rsidR="00CA5AD6" w:rsidRPr="00721567" w:rsidRDefault="00CA5AD6" w:rsidP="00651D87">
      <w:pPr>
        <w:widowControl/>
        <w:spacing w:line="360" w:lineRule="auto"/>
        <w:ind w:left="720"/>
        <w:rPr>
          <w:sz w:val="20"/>
        </w:rPr>
      </w:pPr>
      <w:r w:rsidRPr="00721567">
        <w:rPr>
          <w:b/>
          <w:sz w:val="20"/>
        </w:rPr>
        <w:t>Question E.9</w:t>
      </w:r>
      <w:r w:rsidR="00532E66">
        <w:rPr>
          <w:b/>
          <w:sz w:val="20"/>
        </w:rPr>
        <w:t>.</w:t>
      </w:r>
      <w:r w:rsidRPr="00532E66">
        <w:rPr>
          <w:b/>
          <w:sz w:val="20"/>
        </w:rPr>
        <w:t>c:</w:t>
      </w:r>
      <w:r w:rsidR="00532E66">
        <w:rPr>
          <w:b/>
          <w:sz w:val="20"/>
        </w:rPr>
        <w:t xml:space="preserve">  </w:t>
      </w:r>
      <w:r w:rsidRPr="00721567">
        <w:rPr>
          <w:sz w:val="20"/>
        </w:rPr>
        <w:t>How would the RENP confirm the continued security of the electronic journal and CT Recordings?</w:t>
      </w:r>
    </w:p>
    <w:p w:rsidR="00CA5AD6" w:rsidRPr="00721567" w:rsidRDefault="00CA5AD6" w:rsidP="00651D87">
      <w:pPr>
        <w:widowControl/>
        <w:spacing w:line="360" w:lineRule="auto"/>
        <w:rPr>
          <w:sz w:val="20"/>
        </w:rPr>
      </w:pPr>
      <w:r w:rsidRPr="00721567">
        <w:rPr>
          <w:b/>
          <w:sz w:val="20"/>
        </w:rPr>
        <w:t>Question E.10:</w:t>
      </w:r>
      <w:r w:rsidRPr="00721567">
        <w:rPr>
          <w:sz w:val="20"/>
        </w:rPr>
        <w:t xml:space="preserve">  If there should not be an affirmative obligation on the RENP to periodically confirm the full accessibility and continued security of the electronic journal and CT</w:t>
      </w:r>
      <w:r w:rsidR="0074010F" w:rsidRPr="00721567">
        <w:rPr>
          <w:sz w:val="20"/>
        </w:rPr>
        <w:t xml:space="preserve"> </w:t>
      </w:r>
      <w:r w:rsidRPr="00721567">
        <w:rPr>
          <w:sz w:val="20"/>
        </w:rPr>
        <w:t>R</w:t>
      </w:r>
      <w:r w:rsidR="0074010F" w:rsidRPr="00721567">
        <w:rPr>
          <w:sz w:val="20"/>
        </w:rPr>
        <w:t>ecording</w:t>
      </w:r>
      <w:r w:rsidRPr="00721567">
        <w:rPr>
          <w:sz w:val="20"/>
        </w:rPr>
        <w:t xml:space="preserve">, why not?   </w:t>
      </w:r>
    </w:p>
    <w:p w:rsidR="00CA5AD6" w:rsidRPr="00721567" w:rsidRDefault="00CA5AD6" w:rsidP="00651D87">
      <w:pPr>
        <w:widowControl/>
        <w:spacing w:line="360" w:lineRule="auto"/>
        <w:rPr>
          <w:sz w:val="20"/>
        </w:rPr>
      </w:pPr>
      <w:r w:rsidRPr="00721567">
        <w:rPr>
          <w:b/>
          <w:sz w:val="20"/>
        </w:rPr>
        <w:t>Question E.11:</w:t>
      </w:r>
      <w:r w:rsidRPr="00721567">
        <w:rPr>
          <w:sz w:val="20"/>
        </w:rPr>
        <w:t xml:space="preserve">  Would there ever be any specific times when the RENP should be required to confirm the full accessibility and continued security of the electronic journal and </w:t>
      </w:r>
      <w:r w:rsidR="00E877EF" w:rsidRPr="00721567">
        <w:rPr>
          <w:sz w:val="20"/>
        </w:rPr>
        <w:t>CT</w:t>
      </w:r>
      <w:r w:rsidR="0074010F" w:rsidRPr="00721567">
        <w:rPr>
          <w:sz w:val="20"/>
        </w:rPr>
        <w:t xml:space="preserve"> </w:t>
      </w:r>
      <w:r w:rsidR="00E877EF" w:rsidRPr="00721567">
        <w:rPr>
          <w:sz w:val="20"/>
        </w:rPr>
        <w:t>R</w:t>
      </w:r>
      <w:r w:rsidR="0074010F" w:rsidRPr="00721567">
        <w:rPr>
          <w:sz w:val="20"/>
        </w:rPr>
        <w:t>ecording</w:t>
      </w:r>
      <w:r w:rsidR="00E877EF" w:rsidRPr="00721567" w:rsidDel="00E27F9D">
        <w:rPr>
          <w:sz w:val="20"/>
        </w:rPr>
        <w:t>?</w:t>
      </w:r>
      <w:r w:rsidRPr="00721567">
        <w:rPr>
          <w:sz w:val="20"/>
        </w:rPr>
        <w:t xml:space="preserve">  If yes, what, specifically should they be? </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 xml:space="preserve">With regard to rules about inaccessible electronic journals or </w:t>
      </w:r>
      <w:r w:rsidR="00BA76CE" w:rsidRPr="00721567">
        <w:rPr>
          <w:sz w:val="20"/>
        </w:rPr>
        <w:t>CT Recording</w:t>
      </w:r>
      <w:r w:rsidRPr="00721567">
        <w:rPr>
          <w:sz w:val="20"/>
        </w:rPr>
        <w:t xml:space="preserve">s:  </w:t>
      </w:r>
    </w:p>
    <w:p w:rsidR="00CA5AD6" w:rsidRPr="00721567" w:rsidRDefault="00CA5AD6" w:rsidP="00651D87">
      <w:pPr>
        <w:widowControl/>
        <w:spacing w:line="360" w:lineRule="auto"/>
        <w:rPr>
          <w:sz w:val="20"/>
        </w:rPr>
      </w:pPr>
      <w:r w:rsidRPr="00721567">
        <w:rPr>
          <w:b/>
          <w:sz w:val="20"/>
        </w:rPr>
        <w:t xml:space="preserve">Question E.12: </w:t>
      </w:r>
      <w:r w:rsidRPr="00721567">
        <w:rPr>
          <w:sz w:val="20"/>
        </w:rPr>
        <w:t xml:space="preserve"> What should the rules require the RENP to do upon finding that an electronic journal or CT Recording is missing or no longer fully accessible?  For example:  </w:t>
      </w:r>
    </w:p>
    <w:p w:rsidR="00CA5AD6" w:rsidRPr="00721567" w:rsidRDefault="00CA5AD6" w:rsidP="00651D87">
      <w:pPr>
        <w:widowControl/>
        <w:spacing w:line="360" w:lineRule="auto"/>
        <w:ind w:left="720"/>
        <w:rPr>
          <w:sz w:val="20"/>
        </w:rPr>
      </w:pPr>
      <w:r w:rsidRPr="00721567">
        <w:rPr>
          <w:b/>
          <w:sz w:val="20"/>
        </w:rPr>
        <w:t>Question E.12</w:t>
      </w:r>
      <w:r w:rsidR="00532E66">
        <w:rPr>
          <w:b/>
          <w:sz w:val="20"/>
        </w:rPr>
        <w:t>.</w:t>
      </w:r>
      <w:r w:rsidRPr="00721567">
        <w:rPr>
          <w:b/>
          <w:sz w:val="20"/>
        </w:rPr>
        <w:t>a:</w:t>
      </w:r>
      <w:r w:rsidR="00532E66">
        <w:rPr>
          <w:b/>
          <w:sz w:val="20"/>
        </w:rPr>
        <w:t xml:space="preserve">  </w:t>
      </w:r>
      <w:r w:rsidRPr="00721567">
        <w:rPr>
          <w:sz w:val="20"/>
        </w:rPr>
        <w:t xml:space="preserve">Should the RENP be required to immediately verify that the backup electronic journal and CT Recording are fully accessible and properly secure?  </w:t>
      </w:r>
    </w:p>
    <w:p w:rsidR="00CA5AD6" w:rsidRPr="00721567" w:rsidRDefault="00CA5AD6" w:rsidP="00651D87">
      <w:pPr>
        <w:widowControl/>
        <w:spacing w:line="360" w:lineRule="auto"/>
        <w:ind w:left="720"/>
        <w:rPr>
          <w:sz w:val="20"/>
        </w:rPr>
      </w:pPr>
      <w:r w:rsidRPr="00721567">
        <w:rPr>
          <w:b/>
          <w:sz w:val="20"/>
        </w:rPr>
        <w:t>Question E.12</w:t>
      </w:r>
      <w:r w:rsidR="00532E66">
        <w:rPr>
          <w:b/>
          <w:sz w:val="20"/>
        </w:rPr>
        <w:t>.</w:t>
      </w:r>
      <w:r w:rsidRPr="00721567">
        <w:rPr>
          <w:b/>
          <w:sz w:val="20"/>
        </w:rPr>
        <w:t>b:</w:t>
      </w:r>
      <w:r w:rsidR="008E6E64">
        <w:rPr>
          <w:b/>
          <w:sz w:val="20"/>
        </w:rPr>
        <w:tab/>
      </w:r>
      <w:r w:rsidR="00532E66">
        <w:rPr>
          <w:b/>
          <w:sz w:val="20"/>
        </w:rPr>
        <w:t xml:space="preserve">  </w:t>
      </w:r>
      <w:r w:rsidRPr="00721567">
        <w:rPr>
          <w:sz w:val="20"/>
        </w:rPr>
        <w:t xml:space="preserve">Should the RENP be required to immediately contact the vendor to attempt to restore the damaged files?  </w:t>
      </w:r>
    </w:p>
    <w:p w:rsidR="00CA5AD6" w:rsidRPr="00721567" w:rsidRDefault="00CA5AD6" w:rsidP="00651D87">
      <w:pPr>
        <w:widowControl/>
        <w:spacing w:line="360" w:lineRule="auto"/>
        <w:ind w:left="720"/>
        <w:rPr>
          <w:sz w:val="20"/>
        </w:rPr>
      </w:pPr>
      <w:r w:rsidRPr="00721567">
        <w:rPr>
          <w:b/>
          <w:sz w:val="20"/>
        </w:rPr>
        <w:lastRenderedPageBreak/>
        <w:t>Question E.12</w:t>
      </w:r>
      <w:r w:rsidR="00532E66">
        <w:rPr>
          <w:b/>
          <w:sz w:val="20"/>
        </w:rPr>
        <w:t>.</w:t>
      </w:r>
      <w:r w:rsidRPr="00721567">
        <w:rPr>
          <w:b/>
          <w:sz w:val="20"/>
        </w:rPr>
        <w:t>c:</w:t>
      </w:r>
      <w:r w:rsidR="00532E66">
        <w:rPr>
          <w:b/>
          <w:sz w:val="20"/>
        </w:rPr>
        <w:t xml:space="preserve">  </w:t>
      </w:r>
      <w:r w:rsidR="00532E66" w:rsidRPr="00FC4E1B">
        <w:rPr>
          <w:sz w:val="20"/>
        </w:rPr>
        <w:t>I</w:t>
      </w:r>
      <w:r w:rsidRPr="00721567">
        <w:rPr>
          <w:sz w:val="20"/>
        </w:rPr>
        <w:t xml:space="preserve">f the original electronic journal entry or CT Recording cannot be restored, should the RENP be required to ask the vendor to copy the missing or damaged item into the electronic journal or CT Recording?  </w:t>
      </w:r>
    </w:p>
    <w:p w:rsidR="00CA5AD6" w:rsidRPr="00721567" w:rsidRDefault="00CA5AD6" w:rsidP="00651D87">
      <w:pPr>
        <w:widowControl/>
        <w:spacing w:line="360" w:lineRule="auto"/>
        <w:ind w:left="720"/>
        <w:rPr>
          <w:sz w:val="20"/>
        </w:rPr>
      </w:pPr>
      <w:r w:rsidRPr="00721567">
        <w:rPr>
          <w:b/>
          <w:sz w:val="20"/>
        </w:rPr>
        <w:t>Question E.12</w:t>
      </w:r>
      <w:r w:rsidR="00532E66">
        <w:rPr>
          <w:b/>
          <w:sz w:val="20"/>
        </w:rPr>
        <w:t>.</w:t>
      </w:r>
      <w:r w:rsidRPr="00721567">
        <w:rPr>
          <w:b/>
          <w:sz w:val="20"/>
        </w:rPr>
        <w:t>d:</w:t>
      </w:r>
      <w:r w:rsidR="00532E66">
        <w:rPr>
          <w:b/>
          <w:sz w:val="20"/>
        </w:rPr>
        <w:t xml:space="preserve">  </w:t>
      </w:r>
      <w:r w:rsidR="00532E66" w:rsidRPr="00FC4E1B">
        <w:rPr>
          <w:sz w:val="20"/>
        </w:rPr>
        <w:t>I</w:t>
      </w:r>
      <w:r w:rsidRPr="00532E66">
        <w:rPr>
          <w:sz w:val="20"/>
        </w:rPr>
        <w:t>f</w:t>
      </w:r>
      <w:r w:rsidRPr="00721567">
        <w:rPr>
          <w:sz w:val="20"/>
        </w:rPr>
        <w:t xml:space="preserve"> yes, how should the RENP and/or vendor be required to note what happened in the electronic journal?</w:t>
      </w:r>
    </w:p>
    <w:p w:rsidR="00CA5AD6" w:rsidRPr="00721567" w:rsidRDefault="00CA5AD6" w:rsidP="00532E66">
      <w:pPr>
        <w:widowControl/>
        <w:spacing w:line="360" w:lineRule="auto"/>
        <w:rPr>
          <w:sz w:val="20"/>
        </w:rPr>
      </w:pPr>
      <w:r w:rsidRPr="00721567">
        <w:rPr>
          <w:b/>
          <w:sz w:val="20"/>
        </w:rPr>
        <w:t>Question E.13:</w:t>
      </w:r>
      <w:r w:rsidR="00532E66">
        <w:rPr>
          <w:b/>
          <w:sz w:val="20"/>
        </w:rPr>
        <w:t xml:space="preserve">  </w:t>
      </w:r>
      <w:r w:rsidRPr="00721567">
        <w:rPr>
          <w:sz w:val="20"/>
        </w:rPr>
        <w:t>Is there anything else that the rules should address with regard to inaccessible electronic journals and CT Recordings?  If yes, what?  Please be specific.</w:t>
      </w:r>
    </w:p>
    <w:p w:rsidR="00CA5AD6" w:rsidRPr="00721567" w:rsidRDefault="00CA5AD6" w:rsidP="00651D87">
      <w:pPr>
        <w:widowControl/>
        <w:spacing w:line="360" w:lineRule="auto"/>
        <w:rPr>
          <w:sz w:val="20"/>
        </w:rPr>
      </w:pPr>
      <w:r w:rsidRPr="00721567">
        <w:rPr>
          <w:b/>
          <w:sz w:val="20"/>
        </w:rPr>
        <w:t>Question E.14:</w:t>
      </w:r>
      <w:r w:rsidR="00532E66">
        <w:rPr>
          <w:b/>
          <w:sz w:val="20"/>
        </w:rPr>
        <w:t xml:space="preserve">  </w:t>
      </w:r>
      <w:r w:rsidRPr="00721567">
        <w:rPr>
          <w:sz w:val="20"/>
        </w:rPr>
        <w:t>Are there generally accepted standards for users in this regard?  If yes, what are they?  Please be specific.</w:t>
      </w:r>
    </w:p>
    <w:p w:rsidR="00CA5AD6" w:rsidRPr="00721567" w:rsidRDefault="00CA5AD6" w:rsidP="00651D87">
      <w:pPr>
        <w:widowControl/>
        <w:spacing w:line="360" w:lineRule="auto"/>
        <w:rPr>
          <w:sz w:val="20"/>
        </w:rPr>
      </w:pPr>
    </w:p>
    <w:p w:rsidR="00CA5AD6" w:rsidRPr="00721567" w:rsidRDefault="0059114C" w:rsidP="00651D87">
      <w:pPr>
        <w:widowControl/>
        <w:spacing w:line="360" w:lineRule="auto"/>
        <w:rPr>
          <w:sz w:val="20"/>
        </w:rPr>
      </w:pPr>
      <w:r w:rsidRPr="00721567">
        <w:rPr>
          <w:sz w:val="20"/>
        </w:rPr>
        <w:t>RENA requires the RENP to maintain the confidentiality of the transaction and information gained from a remotely located principal in the course of performing a REN.</w:t>
      </w:r>
      <w:r w:rsidRPr="00721567">
        <w:rPr>
          <w:sz w:val="20"/>
          <w:vertAlign w:val="superscript"/>
        </w:rPr>
        <w:footnoteReference w:id="47"/>
      </w:r>
      <w:r w:rsidRPr="00721567">
        <w:rPr>
          <w:sz w:val="20"/>
          <w:vertAlign w:val="superscript"/>
        </w:rPr>
        <w:t xml:space="preserve"> </w:t>
      </w:r>
      <w:r w:rsidRPr="00721567">
        <w:rPr>
          <w:sz w:val="20"/>
        </w:rPr>
        <w:t xml:space="preserve"> </w:t>
      </w:r>
      <w:r w:rsidR="00597C3F" w:rsidRPr="00721567">
        <w:rPr>
          <w:sz w:val="20"/>
        </w:rPr>
        <w:t xml:space="preserve">RENA does not address instances where the remotely located principal might wish the RENP to share certain information, and whether the remotely located principal may waive the confidentiality RENA otherwise requires of the RENP.  The Agency therefore requests comment on the following topics </w:t>
      </w:r>
      <w:r w:rsidR="00CA5AD6" w:rsidRPr="00721567">
        <w:rPr>
          <w:sz w:val="20"/>
        </w:rPr>
        <w:t>related to waiver of confidentiality:</w:t>
      </w:r>
    </w:p>
    <w:p w:rsidR="00CA5AD6" w:rsidRPr="00721567" w:rsidRDefault="00CA5AD6" w:rsidP="00651D87">
      <w:pPr>
        <w:widowControl/>
        <w:spacing w:line="360" w:lineRule="auto"/>
        <w:rPr>
          <w:sz w:val="20"/>
        </w:rPr>
      </w:pPr>
      <w:r w:rsidRPr="00721567">
        <w:rPr>
          <w:b/>
          <w:sz w:val="20"/>
        </w:rPr>
        <w:t>Question E.15:</w:t>
      </w:r>
      <w:r w:rsidRPr="00721567">
        <w:rPr>
          <w:sz w:val="20"/>
        </w:rPr>
        <w:t xml:space="preserve">  Are there circumstances in which the remotely located principal may waive the RENP’s statutory duty of ensuring the confidentiality of the </w:t>
      </w:r>
      <w:r w:rsidR="009A4DEF" w:rsidRPr="00721567">
        <w:rPr>
          <w:sz w:val="20"/>
        </w:rPr>
        <w:t>REN</w:t>
      </w:r>
      <w:r w:rsidRPr="00721567">
        <w:rPr>
          <w:sz w:val="20"/>
        </w:rPr>
        <w:t xml:space="preserve">?  If yes, what is the legal basis for allowing such a waiver?  </w:t>
      </w:r>
    </w:p>
    <w:p w:rsidR="00CA5AD6" w:rsidRPr="00721567" w:rsidRDefault="00CA5AD6" w:rsidP="00651D87">
      <w:pPr>
        <w:widowControl/>
        <w:spacing w:line="360" w:lineRule="auto"/>
        <w:ind w:left="720"/>
        <w:rPr>
          <w:sz w:val="20"/>
        </w:rPr>
      </w:pPr>
      <w:r w:rsidRPr="00721567">
        <w:rPr>
          <w:b/>
          <w:sz w:val="20"/>
        </w:rPr>
        <w:t>Question E.15</w:t>
      </w:r>
      <w:r w:rsidR="00582E18">
        <w:rPr>
          <w:b/>
          <w:sz w:val="20"/>
        </w:rPr>
        <w:t>.</w:t>
      </w:r>
      <w:r w:rsidRPr="00721567">
        <w:rPr>
          <w:b/>
          <w:sz w:val="20"/>
        </w:rPr>
        <w:t>a</w:t>
      </w:r>
      <w:r w:rsidR="008E6E64" w:rsidRPr="00582E18">
        <w:rPr>
          <w:b/>
          <w:sz w:val="20"/>
        </w:rPr>
        <w:t>:</w:t>
      </w:r>
      <w:r w:rsidR="00582E18">
        <w:rPr>
          <w:b/>
          <w:sz w:val="20"/>
        </w:rPr>
        <w:t xml:space="preserve">  </w:t>
      </w:r>
      <w:r w:rsidRPr="00721567">
        <w:rPr>
          <w:sz w:val="20"/>
        </w:rPr>
        <w:t xml:space="preserve">Can other parties to the transaction ever waive confidentiality?  </w:t>
      </w:r>
    </w:p>
    <w:p w:rsidR="00CA5AD6" w:rsidRPr="00721567" w:rsidRDefault="00CA5AD6" w:rsidP="00651D87">
      <w:pPr>
        <w:widowControl/>
        <w:spacing w:line="360" w:lineRule="auto"/>
        <w:ind w:left="720"/>
        <w:rPr>
          <w:sz w:val="20"/>
        </w:rPr>
      </w:pPr>
      <w:r w:rsidRPr="00721567">
        <w:rPr>
          <w:b/>
          <w:sz w:val="20"/>
        </w:rPr>
        <w:t>Question E.15</w:t>
      </w:r>
      <w:r w:rsidR="00582E18">
        <w:rPr>
          <w:b/>
          <w:sz w:val="20"/>
        </w:rPr>
        <w:t>.</w:t>
      </w:r>
      <w:r w:rsidRPr="00721567">
        <w:rPr>
          <w:b/>
          <w:sz w:val="20"/>
        </w:rPr>
        <w:t>b</w:t>
      </w:r>
      <w:r w:rsidR="008E6E64" w:rsidRPr="00582E18">
        <w:rPr>
          <w:b/>
          <w:sz w:val="20"/>
        </w:rPr>
        <w:t>:</w:t>
      </w:r>
      <w:r w:rsidR="00582E18">
        <w:rPr>
          <w:b/>
          <w:sz w:val="20"/>
        </w:rPr>
        <w:t xml:space="preserve">  </w:t>
      </w:r>
      <w:r w:rsidRPr="00721567">
        <w:rPr>
          <w:sz w:val="20"/>
        </w:rPr>
        <w:t xml:space="preserve">May the RENP refuse the waiver of confidentiality?  </w:t>
      </w:r>
    </w:p>
    <w:p w:rsidR="00CA5AD6" w:rsidRPr="00721567" w:rsidRDefault="00CA5AD6" w:rsidP="00651D87">
      <w:pPr>
        <w:widowControl/>
        <w:spacing w:line="360" w:lineRule="auto"/>
        <w:ind w:left="720"/>
        <w:rPr>
          <w:sz w:val="20"/>
        </w:rPr>
      </w:pPr>
      <w:r w:rsidRPr="00721567">
        <w:rPr>
          <w:b/>
          <w:sz w:val="20"/>
        </w:rPr>
        <w:t>Question E.15</w:t>
      </w:r>
      <w:r w:rsidR="00582E18">
        <w:rPr>
          <w:b/>
          <w:sz w:val="20"/>
        </w:rPr>
        <w:t>.</w:t>
      </w:r>
      <w:r w:rsidRPr="00721567">
        <w:rPr>
          <w:b/>
          <w:sz w:val="20"/>
        </w:rPr>
        <w:t>c:</w:t>
      </w:r>
      <w:r w:rsidR="00582E18">
        <w:rPr>
          <w:b/>
          <w:sz w:val="20"/>
        </w:rPr>
        <w:t xml:space="preserve">  </w:t>
      </w:r>
      <w:r w:rsidRPr="00721567">
        <w:rPr>
          <w:sz w:val="20"/>
        </w:rPr>
        <w:t>Must all parties to the transaction agree to any waiver</w:t>
      </w:r>
      <w:r w:rsidR="001038CE" w:rsidRPr="00721567">
        <w:rPr>
          <w:sz w:val="20"/>
        </w:rPr>
        <w:t>, even if the waiver is to information personal to the party seeking to make the waiver</w:t>
      </w:r>
      <w:r w:rsidRPr="00721567">
        <w:rPr>
          <w:sz w:val="20"/>
        </w:rPr>
        <w:t>?</w:t>
      </w:r>
    </w:p>
    <w:p w:rsidR="00CA5AD6" w:rsidRPr="00721567" w:rsidRDefault="00CA5AD6" w:rsidP="00651D87">
      <w:pPr>
        <w:widowControl/>
        <w:tabs>
          <w:tab w:val="left" w:pos="2160"/>
        </w:tabs>
        <w:spacing w:line="360" w:lineRule="auto"/>
        <w:ind w:left="720"/>
        <w:rPr>
          <w:sz w:val="20"/>
        </w:rPr>
      </w:pPr>
      <w:r w:rsidRPr="00721567">
        <w:rPr>
          <w:b/>
          <w:sz w:val="20"/>
        </w:rPr>
        <w:t>Question E.15</w:t>
      </w:r>
      <w:r w:rsidR="00582E18">
        <w:rPr>
          <w:b/>
          <w:sz w:val="20"/>
        </w:rPr>
        <w:t>.</w:t>
      </w:r>
      <w:r w:rsidRPr="00721567">
        <w:rPr>
          <w:b/>
          <w:sz w:val="20"/>
        </w:rPr>
        <w:t>d:</w:t>
      </w:r>
      <w:r w:rsidR="00582E18">
        <w:rPr>
          <w:b/>
          <w:sz w:val="20"/>
        </w:rPr>
        <w:t xml:space="preserve">  </w:t>
      </w:r>
      <w:r w:rsidRPr="00582E18">
        <w:rPr>
          <w:sz w:val="20"/>
        </w:rPr>
        <w:t>If</w:t>
      </w:r>
      <w:r w:rsidRPr="00721567">
        <w:rPr>
          <w:sz w:val="20"/>
        </w:rPr>
        <w:t xml:space="preserve"> waiver is possible, how should the rules define who can waive confidentiality </w:t>
      </w:r>
      <w:r w:rsidR="00B2303F">
        <w:rPr>
          <w:sz w:val="20"/>
        </w:rPr>
        <w:t>and how</w:t>
      </w:r>
      <w:r w:rsidR="004C3710">
        <w:rPr>
          <w:sz w:val="20"/>
        </w:rPr>
        <w:t>,</w:t>
      </w:r>
      <w:r w:rsidR="00B2303F">
        <w:rPr>
          <w:sz w:val="20"/>
        </w:rPr>
        <w:t xml:space="preserve"> </w:t>
      </w:r>
      <w:r w:rsidRPr="00721567">
        <w:rPr>
          <w:sz w:val="20"/>
        </w:rPr>
        <w:t>so that the RENP will know that the person has the appropriate authority</w:t>
      </w:r>
      <w:r w:rsidR="00B2303F">
        <w:rPr>
          <w:sz w:val="20"/>
        </w:rPr>
        <w:t xml:space="preserve"> and is knowingly doing so</w:t>
      </w:r>
      <w:r w:rsidRPr="00721567">
        <w:rPr>
          <w:sz w:val="20"/>
        </w:rPr>
        <w:t xml:space="preserve">? </w:t>
      </w:r>
    </w:p>
    <w:p w:rsidR="00CA5AD6" w:rsidRPr="00721567" w:rsidRDefault="00CA5AD6" w:rsidP="00651D87">
      <w:pPr>
        <w:widowControl/>
        <w:spacing w:line="360" w:lineRule="auto"/>
        <w:ind w:left="720"/>
        <w:rPr>
          <w:sz w:val="20"/>
        </w:rPr>
      </w:pPr>
      <w:r w:rsidRPr="00721567">
        <w:rPr>
          <w:b/>
          <w:sz w:val="20"/>
        </w:rPr>
        <w:t>Question E.15</w:t>
      </w:r>
      <w:r w:rsidR="00582E18">
        <w:rPr>
          <w:b/>
          <w:sz w:val="20"/>
        </w:rPr>
        <w:t>.</w:t>
      </w:r>
      <w:r w:rsidRPr="00721567">
        <w:rPr>
          <w:b/>
          <w:sz w:val="20"/>
        </w:rPr>
        <w:t>e</w:t>
      </w:r>
      <w:r w:rsidR="008E6E64" w:rsidRPr="00582E18">
        <w:rPr>
          <w:b/>
          <w:sz w:val="20"/>
        </w:rPr>
        <w:t>:</w:t>
      </w:r>
      <w:r w:rsidR="00582E18">
        <w:rPr>
          <w:b/>
          <w:sz w:val="20"/>
        </w:rPr>
        <w:t xml:space="preserve">  </w:t>
      </w:r>
      <w:r w:rsidRPr="00721567">
        <w:rPr>
          <w:sz w:val="20"/>
        </w:rPr>
        <w:t xml:space="preserve">To what, exactly, should such a waiver apply or not apply?  </w:t>
      </w:r>
    </w:p>
    <w:p w:rsidR="00CA5AD6" w:rsidRPr="00721567" w:rsidRDefault="00CA5AD6" w:rsidP="00651D87">
      <w:pPr>
        <w:widowControl/>
        <w:spacing w:line="360" w:lineRule="auto"/>
        <w:ind w:left="720"/>
        <w:rPr>
          <w:sz w:val="20"/>
        </w:rPr>
      </w:pPr>
      <w:r w:rsidRPr="00721567">
        <w:rPr>
          <w:b/>
          <w:sz w:val="20"/>
        </w:rPr>
        <w:t>Question E.15</w:t>
      </w:r>
      <w:r w:rsidR="00582E18">
        <w:rPr>
          <w:b/>
          <w:sz w:val="20"/>
        </w:rPr>
        <w:t>.</w:t>
      </w:r>
      <w:r w:rsidRPr="00721567">
        <w:rPr>
          <w:b/>
          <w:sz w:val="20"/>
        </w:rPr>
        <w:t>f:</w:t>
      </w:r>
      <w:r w:rsidR="00582E18">
        <w:rPr>
          <w:b/>
          <w:sz w:val="20"/>
        </w:rPr>
        <w:t xml:space="preserve">  </w:t>
      </w:r>
      <w:r w:rsidRPr="00582E18">
        <w:rPr>
          <w:sz w:val="20"/>
        </w:rPr>
        <w:t>H</w:t>
      </w:r>
      <w:r w:rsidRPr="00721567">
        <w:rPr>
          <w:sz w:val="20"/>
        </w:rPr>
        <w:t xml:space="preserve">ow should the rules address how a waiver would be granted and how the RENP should enter it into the electronic journal? </w:t>
      </w:r>
    </w:p>
    <w:p w:rsidR="00CA5AD6" w:rsidRPr="00721567" w:rsidRDefault="00CA5AD6" w:rsidP="00651D87">
      <w:pPr>
        <w:widowControl/>
        <w:spacing w:line="360" w:lineRule="auto"/>
        <w:rPr>
          <w:sz w:val="20"/>
        </w:rPr>
      </w:pPr>
      <w:r w:rsidRPr="00721567">
        <w:rPr>
          <w:b/>
          <w:sz w:val="20"/>
        </w:rPr>
        <w:t>Question E.16:</w:t>
      </w:r>
      <w:r w:rsidRPr="00721567">
        <w:rPr>
          <w:sz w:val="20"/>
        </w:rPr>
        <w:t xml:space="preserve">  If confidentiality cannot be waived, what is the basis in the law for your answer?  </w:t>
      </w:r>
    </w:p>
    <w:p w:rsidR="00CA5AD6" w:rsidRPr="00721567" w:rsidRDefault="00CA5AD6" w:rsidP="00651D87">
      <w:pPr>
        <w:pStyle w:val="Heading1"/>
        <w:widowControl/>
        <w:spacing w:line="360" w:lineRule="auto"/>
        <w:jc w:val="left"/>
        <w:rPr>
          <w:sz w:val="20"/>
        </w:rPr>
      </w:pPr>
    </w:p>
    <w:p w:rsidR="00CA5AD6" w:rsidRPr="00721567" w:rsidRDefault="00CA5AD6" w:rsidP="00651D87">
      <w:pPr>
        <w:pStyle w:val="Heading1"/>
        <w:widowControl/>
        <w:spacing w:line="360" w:lineRule="auto"/>
        <w:ind w:firstLine="720"/>
        <w:jc w:val="left"/>
        <w:rPr>
          <w:b/>
          <w:sz w:val="20"/>
        </w:rPr>
      </w:pPr>
      <w:bookmarkStart w:id="6" w:name="_Toc117090619"/>
      <w:r w:rsidRPr="00721567">
        <w:rPr>
          <w:b/>
          <w:sz w:val="20"/>
        </w:rPr>
        <w:t xml:space="preserve">F.  </w:t>
      </w:r>
      <w:r w:rsidR="008E6E64">
        <w:rPr>
          <w:b/>
          <w:sz w:val="20"/>
        </w:rPr>
        <w:tab/>
      </w:r>
      <w:r w:rsidRPr="00332993">
        <w:rPr>
          <w:b/>
          <w:caps/>
          <w:sz w:val="20"/>
        </w:rPr>
        <w:t xml:space="preserve">Acts Subject </w:t>
      </w:r>
      <w:r w:rsidR="00F42DBD">
        <w:rPr>
          <w:b/>
          <w:caps/>
          <w:sz w:val="20"/>
        </w:rPr>
        <w:t>To</w:t>
      </w:r>
      <w:r w:rsidRPr="00332993">
        <w:rPr>
          <w:b/>
          <w:caps/>
          <w:sz w:val="20"/>
        </w:rPr>
        <w:t xml:space="preserve"> CT Recording</w:t>
      </w:r>
      <w:bookmarkEnd w:id="6"/>
    </w:p>
    <w:p w:rsidR="00CA5AD6" w:rsidRPr="00721567" w:rsidRDefault="00CA5AD6" w:rsidP="00651D87">
      <w:pPr>
        <w:widowControl/>
        <w:spacing w:line="360" w:lineRule="auto"/>
        <w:rPr>
          <w:sz w:val="20"/>
        </w:rPr>
      </w:pPr>
      <w:r w:rsidRPr="00721567">
        <w:rPr>
          <w:sz w:val="20"/>
        </w:rPr>
        <w:t>Under RENA, an RENP who is physically present in North Carolina will be able to perform REN for a remotely located principal in the United States or, in limited circumstances, another country.</w:t>
      </w:r>
      <w:r w:rsidR="00C9128D" w:rsidRPr="00721567">
        <w:rPr>
          <w:rStyle w:val="FootnoteReference"/>
          <w:sz w:val="20"/>
          <w:vertAlign w:val="superscript"/>
        </w:rPr>
        <w:footnoteReference w:id="48"/>
      </w:r>
      <w:r w:rsidRPr="00721567">
        <w:rPr>
          <w:sz w:val="20"/>
        </w:rPr>
        <w:t xml:space="preserve">  RENA requires CT Recordings be made of “the remote electronic notarization.”</w:t>
      </w:r>
      <w:r w:rsidRPr="00721567">
        <w:rPr>
          <w:sz w:val="20"/>
          <w:vertAlign w:val="superscript"/>
        </w:rPr>
        <w:footnoteReference w:id="49"/>
      </w:r>
      <w:r w:rsidRPr="00721567">
        <w:rPr>
          <w:sz w:val="20"/>
        </w:rPr>
        <w:t xml:space="preserve">   The communication technology used must be capable of “securely creating and storing” the CT Recordings.</w:t>
      </w:r>
      <w:r w:rsidR="00C9128D" w:rsidRPr="00721567">
        <w:rPr>
          <w:rStyle w:val="FootnoteReference"/>
          <w:sz w:val="20"/>
          <w:vertAlign w:val="superscript"/>
        </w:rPr>
        <w:footnoteReference w:id="50"/>
      </w:r>
      <w:r w:rsidRPr="00721567">
        <w:rPr>
          <w:sz w:val="20"/>
        </w:rPr>
        <w:t xml:space="preserve">  The communication technology must also keep confidential:  (1) the questions asked as part of any identity proofing; and, (2) the means and methods used to </w:t>
      </w:r>
      <w:r w:rsidRPr="00721567">
        <w:rPr>
          <w:sz w:val="20"/>
        </w:rPr>
        <w:lastRenderedPageBreak/>
        <w:t>generate the credential analysis.</w:t>
      </w:r>
      <w:r w:rsidRPr="00721567">
        <w:rPr>
          <w:sz w:val="20"/>
          <w:vertAlign w:val="superscript"/>
        </w:rPr>
        <w:footnoteReference w:id="51"/>
      </w:r>
      <w:r w:rsidRPr="00721567">
        <w:rPr>
          <w:sz w:val="20"/>
          <w:vertAlign w:val="superscript"/>
        </w:rPr>
        <w:t xml:space="preserve"> </w:t>
      </w:r>
      <w:r w:rsidRPr="00721567">
        <w:rPr>
          <w:sz w:val="20"/>
        </w:rPr>
        <w:t xml:space="preserve"> RENA does not directly indicate when a “remote electronic notarization” begins or ends.  </w:t>
      </w:r>
    </w:p>
    <w:p w:rsidR="00CA5AD6" w:rsidRPr="00721567" w:rsidRDefault="00CA5AD6" w:rsidP="00651D87">
      <w:pPr>
        <w:widowControl/>
        <w:spacing w:line="360" w:lineRule="auto"/>
        <w:rPr>
          <w:sz w:val="20"/>
        </w:rPr>
      </w:pPr>
    </w:p>
    <w:p w:rsidR="00CA5AD6" w:rsidRPr="00EC13DB" w:rsidRDefault="00CA5AD6" w:rsidP="00651D87">
      <w:pPr>
        <w:widowControl/>
        <w:spacing w:line="360" w:lineRule="auto"/>
        <w:rPr>
          <w:sz w:val="20"/>
        </w:rPr>
      </w:pPr>
      <w:r w:rsidRPr="00721567">
        <w:rPr>
          <w:sz w:val="20"/>
        </w:rPr>
        <w:t xml:space="preserve">RENA </w:t>
      </w:r>
      <w:r w:rsidRPr="00EC13DB">
        <w:rPr>
          <w:sz w:val="20"/>
        </w:rPr>
        <w:t xml:space="preserve">states the following steps must occur </w:t>
      </w:r>
      <w:r w:rsidRPr="00B2303F">
        <w:rPr>
          <w:i/>
          <w:sz w:val="20"/>
        </w:rPr>
        <w:t>prior to the performance of a remote notarial act</w:t>
      </w:r>
      <w:r w:rsidRPr="00EC13DB">
        <w:rPr>
          <w:sz w:val="20"/>
        </w:rPr>
        <w:t xml:space="preserve">:   </w:t>
      </w:r>
    </w:p>
    <w:p w:rsidR="00CA5AD6" w:rsidRPr="00EC13DB" w:rsidRDefault="00CA5AD6" w:rsidP="00EC13DB">
      <w:pPr>
        <w:pStyle w:val="ListParagraph"/>
        <w:numPr>
          <w:ilvl w:val="0"/>
          <w:numId w:val="28"/>
        </w:numPr>
        <w:tabs>
          <w:tab w:val="left" w:pos="990"/>
        </w:tabs>
        <w:spacing w:line="360" w:lineRule="auto"/>
        <w:ind w:left="720" w:firstLine="0"/>
        <w:rPr>
          <w:color w:val="auto"/>
          <w:sz w:val="20"/>
        </w:rPr>
      </w:pPr>
      <w:r w:rsidRPr="00EC13DB">
        <w:rPr>
          <w:color w:val="auto"/>
          <w:sz w:val="20"/>
        </w:rPr>
        <w:t>The RENP and remotely located principal must be online using the same communications technology so they can see and hear each other clearly.</w:t>
      </w:r>
    </w:p>
    <w:p w:rsidR="00CA5AD6" w:rsidRPr="00EC13DB" w:rsidRDefault="00CA5AD6" w:rsidP="00EC13DB">
      <w:pPr>
        <w:pStyle w:val="ListParagraph"/>
        <w:numPr>
          <w:ilvl w:val="0"/>
          <w:numId w:val="28"/>
        </w:numPr>
        <w:tabs>
          <w:tab w:val="left" w:pos="990"/>
        </w:tabs>
        <w:spacing w:line="360" w:lineRule="auto"/>
        <w:rPr>
          <w:color w:val="auto"/>
          <w:sz w:val="20"/>
        </w:rPr>
      </w:pPr>
      <w:r w:rsidRPr="00EC13DB">
        <w:rPr>
          <w:color w:val="auto"/>
          <w:sz w:val="20"/>
        </w:rPr>
        <w:t>The RENP must inform the remotely located principal that the notarial act will be recorded.</w:t>
      </w:r>
    </w:p>
    <w:p w:rsidR="00CA5AD6" w:rsidRPr="00EC13DB" w:rsidRDefault="00CA5AD6" w:rsidP="00EC13DB">
      <w:pPr>
        <w:pStyle w:val="ListParagraph"/>
        <w:numPr>
          <w:ilvl w:val="0"/>
          <w:numId w:val="28"/>
        </w:numPr>
        <w:tabs>
          <w:tab w:val="left" w:pos="990"/>
        </w:tabs>
        <w:spacing w:line="360" w:lineRule="auto"/>
        <w:rPr>
          <w:color w:val="auto"/>
          <w:sz w:val="20"/>
        </w:rPr>
      </w:pPr>
      <w:r w:rsidRPr="00EC13DB">
        <w:rPr>
          <w:color w:val="auto"/>
          <w:sz w:val="20"/>
        </w:rPr>
        <w:t>The RENP must ask the remotely located principal if the presence of an attorney is desired.</w:t>
      </w:r>
    </w:p>
    <w:p w:rsidR="00CA5AD6" w:rsidRPr="00EC13DB" w:rsidRDefault="00EC13DB" w:rsidP="00EC13DB">
      <w:pPr>
        <w:widowControl/>
        <w:tabs>
          <w:tab w:val="left" w:pos="990"/>
        </w:tabs>
        <w:spacing w:line="360" w:lineRule="auto"/>
        <w:ind w:left="720"/>
        <w:rPr>
          <w:sz w:val="20"/>
        </w:rPr>
      </w:pPr>
      <w:r w:rsidRPr="00EC13DB">
        <w:rPr>
          <w:sz w:val="20"/>
        </w:rPr>
        <w:t xml:space="preserve">4.  </w:t>
      </w:r>
      <w:r w:rsidR="00CA5AD6" w:rsidRPr="00EC13DB">
        <w:rPr>
          <w:sz w:val="20"/>
        </w:rPr>
        <w:t>The RENP must require the remotely located principal to confirm that the principal is not being coerced or under duress.</w:t>
      </w:r>
    </w:p>
    <w:p w:rsidR="00CA5AD6" w:rsidRPr="00EC13DB" w:rsidRDefault="00CA5AD6" w:rsidP="00EC13DB">
      <w:pPr>
        <w:widowControl/>
        <w:tabs>
          <w:tab w:val="left" w:pos="990"/>
        </w:tabs>
        <w:spacing w:line="360" w:lineRule="auto"/>
        <w:ind w:left="720"/>
        <w:rPr>
          <w:sz w:val="20"/>
        </w:rPr>
      </w:pPr>
      <w:r w:rsidRPr="00EC13DB">
        <w:rPr>
          <w:sz w:val="20"/>
        </w:rPr>
        <w:t>5</w:t>
      </w:r>
      <w:r w:rsidR="00EC13DB" w:rsidRPr="00EC13DB">
        <w:rPr>
          <w:sz w:val="20"/>
        </w:rPr>
        <w:t xml:space="preserve">.  </w:t>
      </w:r>
      <w:r w:rsidR="008E6E64" w:rsidRPr="00EC13DB">
        <w:rPr>
          <w:sz w:val="20"/>
        </w:rPr>
        <w:tab/>
      </w:r>
      <w:r w:rsidRPr="00EC13DB">
        <w:rPr>
          <w:sz w:val="20"/>
        </w:rPr>
        <w:t>The remotely located principal must describe the document(s) to be notarized or the general nature of the transaction.</w:t>
      </w:r>
    </w:p>
    <w:p w:rsidR="00CA5AD6" w:rsidRPr="00EC13DB" w:rsidRDefault="00CA5AD6" w:rsidP="00EC13DB">
      <w:pPr>
        <w:widowControl/>
        <w:tabs>
          <w:tab w:val="left" w:pos="990"/>
        </w:tabs>
        <w:spacing w:line="360" w:lineRule="auto"/>
        <w:ind w:left="720"/>
        <w:rPr>
          <w:sz w:val="20"/>
          <w:vertAlign w:val="superscript"/>
        </w:rPr>
      </w:pPr>
      <w:r w:rsidRPr="00EC13DB">
        <w:rPr>
          <w:sz w:val="20"/>
        </w:rPr>
        <w:t>6</w:t>
      </w:r>
      <w:r w:rsidR="00EC13DB" w:rsidRPr="00EC13DB">
        <w:rPr>
          <w:sz w:val="20"/>
        </w:rPr>
        <w:t xml:space="preserve">.  </w:t>
      </w:r>
      <w:r w:rsidR="008E6E64" w:rsidRPr="00EC13DB">
        <w:rPr>
          <w:sz w:val="20"/>
        </w:rPr>
        <w:tab/>
      </w:r>
      <w:r w:rsidRPr="00EC13DB">
        <w:rPr>
          <w:sz w:val="20"/>
        </w:rPr>
        <w:t>The RENP must confirm that, if documents are to be notarized, none of them are on the list of those that cannot be remotely notarized</w:t>
      </w:r>
      <w:r w:rsidR="003F220F" w:rsidRPr="00EC13DB">
        <w:rPr>
          <w:sz w:val="20"/>
        </w:rPr>
        <w:t>.</w:t>
      </w:r>
      <w:r w:rsidR="003F220F" w:rsidRPr="00EC13DB">
        <w:rPr>
          <w:sz w:val="20"/>
          <w:vertAlign w:val="superscript"/>
        </w:rPr>
        <w:footnoteReference w:id="52"/>
      </w:r>
    </w:p>
    <w:p w:rsidR="00CA5AD6" w:rsidRPr="00EC13DB" w:rsidRDefault="00CA5AD6" w:rsidP="00EC13DB">
      <w:pPr>
        <w:widowControl/>
        <w:tabs>
          <w:tab w:val="left" w:pos="990"/>
        </w:tabs>
        <w:spacing w:line="360" w:lineRule="auto"/>
        <w:ind w:left="720"/>
        <w:rPr>
          <w:sz w:val="20"/>
        </w:rPr>
      </w:pPr>
      <w:r w:rsidRPr="00EC13DB">
        <w:rPr>
          <w:sz w:val="20"/>
        </w:rPr>
        <w:t>7</w:t>
      </w:r>
      <w:r w:rsidR="00EC13DB" w:rsidRPr="00EC13DB">
        <w:rPr>
          <w:sz w:val="20"/>
        </w:rPr>
        <w:t xml:space="preserve">.  </w:t>
      </w:r>
      <w:r w:rsidR="00831A37" w:rsidRPr="00EC13DB">
        <w:rPr>
          <w:sz w:val="20"/>
        </w:rPr>
        <w:tab/>
      </w:r>
      <w:r w:rsidRPr="00EC13DB">
        <w:rPr>
          <w:sz w:val="20"/>
        </w:rPr>
        <w:t>The RENP must verify, through the communication technology, the geolocation of the remotely located principal.</w:t>
      </w:r>
      <w:r w:rsidR="00D753AE" w:rsidRPr="00EC13DB">
        <w:rPr>
          <w:rStyle w:val="FootnoteReference"/>
          <w:sz w:val="20"/>
          <w:vertAlign w:val="superscript"/>
        </w:rPr>
        <w:footnoteReference w:id="53"/>
      </w:r>
    </w:p>
    <w:p w:rsidR="00CA5AD6" w:rsidRPr="00EC13DB" w:rsidRDefault="00CA5AD6" w:rsidP="00EC13DB">
      <w:pPr>
        <w:widowControl/>
        <w:tabs>
          <w:tab w:val="left" w:pos="990"/>
        </w:tabs>
        <w:spacing w:line="360" w:lineRule="auto"/>
        <w:ind w:left="720"/>
        <w:rPr>
          <w:sz w:val="20"/>
        </w:rPr>
      </w:pPr>
      <w:r w:rsidRPr="00EC13DB">
        <w:rPr>
          <w:sz w:val="20"/>
        </w:rPr>
        <w:t>8</w:t>
      </w:r>
      <w:r w:rsidR="00EC13DB" w:rsidRPr="00EC13DB">
        <w:rPr>
          <w:sz w:val="20"/>
        </w:rPr>
        <w:t xml:space="preserve">.  </w:t>
      </w:r>
      <w:r w:rsidR="00831A37" w:rsidRPr="00EC13DB">
        <w:rPr>
          <w:sz w:val="20"/>
        </w:rPr>
        <w:tab/>
      </w:r>
      <w:r w:rsidRPr="00EC13DB">
        <w:rPr>
          <w:sz w:val="20"/>
        </w:rPr>
        <w:t>The RENP must verify the identity of the remotely located principal</w:t>
      </w:r>
      <w:r w:rsidR="00545450" w:rsidRPr="00EC13DB">
        <w:rPr>
          <w:sz w:val="20"/>
        </w:rPr>
        <w:t>.</w:t>
      </w:r>
      <w:r w:rsidRPr="00EC13DB">
        <w:rPr>
          <w:sz w:val="20"/>
          <w:vertAlign w:val="superscript"/>
        </w:rPr>
        <w:footnoteReference w:id="54"/>
      </w:r>
    </w:p>
    <w:p w:rsidR="004465B1" w:rsidRDefault="004465B1"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Once steps (1) – (8) are completed to the satisfaction of the RENP, the RENP may administer the REN.  The REN, subject to limited exceptions, may consist of</w:t>
      </w:r>
      <w:r w:rsidR="00831A37">
        <w:rPr>
          <w:sz w:val="20"/>
        </w:rPr>
        <w:t xml:space="preserve"> the following</w:t>
      </w:r>
      <w:r w:rsidRPr="00721567">
        <w:rPr>
          <w:sz w:val="20"/>
        </w:rPr>
        <w:t xml:space="preserve">:   the notarial act; completing the notarial certification or jurat; and then recording information as required in the RENP’s electronic journal.  </w:t>
      </w:r>
    </w:p>
    <w:p w:rsidR="00CA5AD6" w:rsidRPr="00721567" w:rsidRDefault="00CA5AD6" w:rsidP="00651D87">
      <w:pPr>
        <w:widowControl/>
        <w:spacing w:line="360" w:lineRule="auto"/>
        <w:rPr>
          <w:sz w:val="20"/>
        </w:rPr>
      </w:pPr>
    </w:p>
    <w:p w:rsidR="004465B1" w:rsidRDefault="00CA5AD6" w:rsidP="00651D87">
      <w:pPr>
        <w:widowControl/>
        <w:spacing w:line="360" w:lineRule="auto"/>
        <w:rPr>
          <w:sz w:val="20"/>
        </w:rPr>
      </w:pPr>
      <w:r w:rsidRPr="00721567">
        <w:rPr>
          <w:sz w:val="20"/>
        </w:rPr>
        <w:t>RENA defines the REN as “a notarial act performed by means of communication technology</w:t>
      </w:r>
      <w:r w:rsidR="00D753AE" w:rsidRPr="00721567">
        <w:rPr>
          <w:sz w:val="20"/>
        </w:rPr>
        <w:t>.</w:t>
      </w:r>
      <w:r w:rsidRPr="00721567">
        <w:rPr>
          <w:sz w:val="20"/>
        </w:rPr>
        <w:t>”</w:t>
      </w:r>
      <w:r w:rsidRPr="00721567">
        <w:rPr>
          <w:rStyle w:val="FootnoteReference"/>
          <w:sz w:val="20"/>
          <w:vertAlign w:val="superscript"/>
        </w:rPr>
        <w:footnoteReference w:id="55"/>
      </w:r>
      <w:r w:rsidRPr="00721567">
        <w:rPr>
          <w:sz w:val="20"/>
          <w:vertAlign w:val="superscript"/>
        </w:rPr>
        <w:t xml:space="preserve"> </w:t>
      </w:r>
      <w:r w:rsidRPr="00721567">
        <w:rPr>
          <w:sz w:val="20"/>
        </w:rPr>
        <w:t xml:space="preserve"> RENA also contains the steps mentioned above that have to occur “prior to the performance of a remote notarial act</w:t>
      </w:r>
      <w:r w:rsidR="00BA76CE" w:rsidRPr="00721567">
        <w:rPr>
          <w:sz w:val="20"/>
        </w:rPr>
        <w:t>.</w:t>
      </w:r>
      <w:r w:rsidRPr="00721567">
        <w:rPr>
          <w:sz w:val="20"/>
        </w:rPr>
        <w:t>”</w:t>
      </w:r>
      <w:r w:rsidRPr="00721567">
        <w:rPr>
          <w:rStyle w:val="FootnoteReference"/>
          <w:sz w:val="20"/>
          <w:vertAlign w:val="superscript"/>
        </w:rPr>
        <w:footnoteReference w:id="56"/>
      </w:r>
      <w:r w:rsidRPr="00721567">
        <w:rPr>
          <w:sz w:val="20"/>
          <w:vertAlign w:val="superscript"/>
        </w:rPr>
        <w:t xml:space="preserve"> </w:t>
      </w:r>
      <w:r w:rsidRPr="00721567">
        <w:rPr>
          <w:sz w:val="20"/>
        </w:rPr>
        <w:t xml:space="preserve"> </w:t>
      </w:r>
      <w:r w:rsidR="00FA1F5A" w:rsidRPr="00721567">
        <w:rPr>
          <w:sz w:val="20"/>
        </w:rPr>
        <w:t xml:space="preserve">In </w:t>
      </w:r>
      <w:r w:rsidR="00FA1F5A" w:rsidRPr="00721567">
        <w:rPr>
          <w:sz w:val="20"/>
        </w:rPr>
        <w:lastRenderedPageBreak/>
        <w:t xml:space="preserve">contrast, the traditional notarial act includes all of the following:  positively identifying the principal, administering the oath or affirmation, taking the acknowledgment, and collecting any fee due to the Notary Public.  </w:t>
      </w:r>
    </w:p>
    <w:p w:rsidR="00CA5AD6" w:rsidRPr="00721567" w:rsidRDefault="00CA5AD6" w:rsidP="00651D87">
      <w:pPr>
        <w:widowControl/>
        <w:spacing w:line="360" w:lineRule="auto"/>
        <w:rPr>
          <w:sz w:val="20"/>
        </w:rPr>
      </w:pPr>
      <w:r w:rsidRPr="00721567">
        <w:rPr>
          <w:sz w:val="20"/>
        </w:rPr>
        <w:t>It appears, therefore, that RENA does not consider identification of the principal or any of the other steps making up the traditional notarial act to be part of the REN.  This difference from a traditional notarial act may lead to confusion.  The Secretary has the authority to adopt rules that would include some or all of those eight steps in the REN</w:t>
      </w:r>
      <w:r w:rsidR="00B2303F">
        <w:rPr>
          <w:sz w:val="20"/>
        </w:rPr>
        <w:t>,</w:t>
      </w:r>
      <w:r w:rsidR="00B2303F" w:rsidRPr="00721567">
        <w:rPr>
          <w:rStyle w:val="FootnoteReference"/>
          <w:sz w:val="20"/>
          <w:vertAlign w:val="superscript"/>
        </w:rPr>
        <w:footnoteReference w:id="57"/>
      </w:r>
      <w:r w:rsidR="00FA1F5A" w:rsidRPr="00721567">
        <w:rPr>
          <w:sz w:val="20"/>
        </w:rPr>
        <w:t xml:space="preserve"> and there may be </w:t>
      </w:r>
      <w:r w:rsidR="007741B0" w:rsidRPr="00721567">
        <w:rPr>
          <w:sz w:val="20"/>
        </w:rPr>
        <w:t xml:space="preserve">good </w:t>
      </w:r>
      <w:r w:rsidR="00FA1F5A" w:rsidRPr="00721567">
        <w:rPr>
          <w:sz w:val="20"/>
        </w:rPr>
        <w:t>r</w:t>
      </w:r>
      <w:r w:rsidR="007741B0" w:rsidRPr="00721567">
        <w:rPr>
          <w:sz w:val="20"/>
        </w:rPr>
        <w:t>eason</w:t>
      </w:r>
      <w:r w:rsidR="00FA1F5A" w:rsidRPr="00721567">
        <w:rPr>
          <w:sz w:val="20"/>
        </w:rPr>
        <w:t xml:space="preserve"> to do so</w:t>
      </w:r>
      <w:r w:rsidRPr="00721567">
        <w:rPr>
          <w:sz w:val="20"/>
        </w:rPr>
        <w:t xml:space="preserve">. </w:t>
      </w:r>
    </w:p>
    <w:p w:rsidR="00CA5AD6" w:rsidRPr="00721567" w:rsidRDefault="00CA5AD6" w:rsidP="00651D87">
      <w:pPr>
        <w:widowControl/>
        <w:spacing w:line="360" w:lineRule="auto"/>
        <w:rPr>
          <w:sz w:val="20"/>
        </w:rPr>
      </w:pPr>
    </w:p>
    <w:p w:rsidR="00CA5AD6" w:rsidRDefault="00CA5AD6" w:rsidP="00651D87">
      <w:pPr>
        <w:widowControl/>
        <w:spacing w:line="360" w:lineRule="auto"/>
        <w:rPr>
          <w:sz w:val="20"/>
        </w:rPr>
      </w:pPr>
      <w:r w:rsidRPr="00721567">
        <w:rPr>
          <w:sz w:val="20"/>
        </w:rPr>
        <w:t>RENA provides the Secretary with the authority to require CT Recordings of interactions other than just the REN.</w:t>
      </w:r>
      <w:r w:rsidRPr="00721567">
        <w:rPr>
          <w:sz w:val="20"/>
          <w:vertAlign w:val="superscript"/>
        </w:rPr>
        <w:footnoteReference w:id="58"/>
      </w:r>
      <w:r w:rsidRPr="00721567">
        <w:rPr>
          <w:sz w:val="20"/>
        </w:rPr>
        <w:t xml:space="preserve">  There may be compelling reasons to require CT Recordings of other interactions between the RENP and remotely located principal.  </w:t>
      </w:r>
    </w:p>
    <w:p w:rsidR="00F42DBD" w:rsidRPr="00721567" w:rsidRDefault="00F42DBD" w:rsidP="00651D87">
      <w:pPr>
        <w:widowControl/>
        <w:spacing w:line="360" w:lineRule="auto"/>
        <w:rPr>
          <w:sz w:val="20"/>
        </w:rPr>
      </w:pPr>
    </w:p>
    <w:p w:rsidR="00CA5AD6" w:rsidRPr="00721567" w:rsidRDefault="00CA5AD6" w:rsidP="00651D87">
      <w:pPr>
        <w:widowControl/>
        <w:spacing w:line="360" w:lineRule="auto"/>
        <w:rPr>
          <w:sz w:val="20"/>
        </w:rPr>
      </w:pPr>
      <w:r w:rsidRPr="00721567">
        <w:rPr>
          <w:b/>
          <w:sz w:val="20"/>
        </w:rPr>
        <w:t>Question F.1:</w:t>
      </w:r>
      <w:r w:rsidRPr="00721567">
        <w:rPr>
          <w:sz w:val="20"/>
        </w:rPr>
        <w:t xml:space="preserve">  The Agency invites comment on whether the CT Recording of the remote electronic notarial act should include any or all of the following:</w:t>
      </w:r>
    </w:p>
    <w:p w:rsidR="00CA5AD6" w:rsidRPr="00721567" w:rsidRDefault="00CA5AD6" w:rsidP="00651D87">
      <w:pPr>
        <w:widowControl/>
        <w:spacing w:line="360" w:lineRule="auto"/>
        <w:ind w:left="720"/>
        <w:rPr>
          <w:sz w:val="20"/>
        </w:rPr>
      </w:pPr>
      <w:r w:rsidRPr="00721567">
        <w:rPr>
          <w:b/>
          <w:sz w:val="20"/>
        </w:rPr>
        <w:t>F</w:t>
      </w:r>
      <w:r w:rsidRPr="00582E18">
        <w:rPr>
          <w:b/>
          <w:sz w:val="20"/>
        </w:rPr>
        <w:t>.1</w:t>
      </w:r>
      <w:r w:rsidRPr="00721567">
        <w:rPr>
          <w:b/>
          <w:sz w:val="20"/>
        </w:rPr>
        <w:t>.a:</w:t>
      </w:r>
      <w:r w:rsidR="00582E18">
        <w:rPr>
          <w:b/>
          <w:sz w:val="20"/>
        </w:rPr>
        <w:t xml:space="preserve">  </w:t>
      </w:r>
      <w:r w:rsidRPr="00721567">
        <w:rPr>
          <w:sz w:val="20"/>
        </w:rPr>
        <w:t>The RENP and remotely located principal are first introduced and the RENP is assessing whether the principal is under duress or being coerced?</w:t>
      </w:r>
    </w:p>
    <w:p w:rsidR="00CA5AD6" w:rsidRPr="00721567" w:rsidRDefault="00CA5AD6" w:rsidP="00651D87">
      <w:pPr>
        <w:widowControl/>
        <w:spacing w:line="360" w:lineRule="auto"/>
        <w:ind w:left="720"/>
        <w:rPr>
          <w:sz w:val="20"/>
        </w:rPr>
      </w:pPr>
      <w:r w:rsidRPr="00582E18">
        <w:rPr>
          <w:b/>
          <w:sz w:val="20"/>
        </w:rPr>
        <w:t>F.1.</w:t>
      </w:r>
      <w:r w:rsidRPr="00721567">
        <w:rPr>
          <w:b/>
          <w:sz w:val="20"/>
        </w:rPr>
        <w:t>b:</w:t>
      </w:r>
      <w:r w:rsidR="00582E18">
        <w:rPr>
          <w:b/>
          <w:sz w:val="20"/>
        </w:rPr>
        <w:t xml:space="preserve">  </w:t>
      </w:r>
      <w:r w:rsidRPr="00721567">
        <w:rPr>
          <w:sz w:val="20"/>
        </w:rPr>
        <w:t>The RENP verifies the identity of the remotely located principal?</w:t>
      </w:r>
    </w:p>
    <w:p w:rsidR="00CA5AD6" w:rsidRPr="00721567" w:rsidRDefault="00CA5AD6" w:rsidP="00651D87">
      <w:pPr>
        <w:widowControl/>
        <w:spacing w:line="360" w:lineRule="auto"/>
        <w:ind w:left="720"/>
        <w:rPr>
          <w:sz w:val="20"/>
        </w:rPr>
      </w:pPr>
      <w:r w:rsidRPr="00721567">
        <w:rPr>
          <w:b/>
          <w:sz w:val="20"/>
        </w:rPr>
        <w:t>F</w:t>
      </w:r>
      <w:r w:rsidRPr="00582E18">
        <w:rPr>
          <w:b/>
          <w:sz w:val="20"/>
        </w:rPr>
        <w:t>.</w:t>
      </w:r>
      <w:r w:rsidRPr="00721567">
        <w:rPr>
          <w:b/>
          <w:sz w:val="20"/>
        </w:rPr>
        <w:t>1.c:</w:t>
      </w:r>
      <w:r w:rsidR="00582E18">
        <w:rPr>
          <w:b/>
          <w:sz w:val="20"/>
        </w:rPr>
        <w:t xml:space="preserve">  </w:t>
      </w:r>
      <w:r w:rsidRPr="00721567">
        <w:rPr>
          <w:sz w:val="20"/>
        </w:rPr>
        <w:t xml:space="preserve">The remotely located principal executes any document, swears an oath, or makes </w:t>
      </w:r>
      <w:r w:rsidR="00E877EF" w:rsidRPr="00721567">
        <w:rPr>
          <w:sz w:val="20"/>
        </w:rPr>
        <w:t>an affirmation</w:t>
      </w:r>
      <w:r w:rsidRPr="00721567">
        <w:rPr>
          <w:sz w:val="20"/>
        </w:rPr>
        <w:t xml:space="preserve">? </w:t>
      </w:r>
    </w:p>
    <w:p w:rsidR="00CA5AD6" w:rsidRPr="00721567" w:rsidRDefault="00CA5AD6" w:rsidP="00651D87">
      <w:pPr>
        <w:widowControl/>
        <w:spacing w:line="360" w:lineRule="auto"/>
        <w:ind w:left="720"/>
        <w:rPr>
          <w:sz w:val="20"/>
        </w:rPr>
      </w:pPr>
      <w:r w:rsidRPr="00721567">
        <w:rPr>
          <w:b/>
          <w:sz w:val="20"/>
        </w:rPr>
        <w:t>F</w:t>
      </w:r>
      <w:r w:rsidRPr="00582E18">
        <w:rPr>
          <w:b/>
          <w:sz w:val="20"/>
        </w:rPr>
        <w:t>.</w:t>
      </w:r>
      <w:r w:rsidRPr="00721567">
        <w:rPr>
          <w:b/>
          <w:sz w:val="20"/>
        </w:rPr>
        <w:t>1.d:</w:t>
      </w:r>
      <w:r w:rsidR="00582E18">
        <w:rPr>
          <w:b/>
          <w:sz w:val="20"/>
        </w:rPr>
        <w:t xml:space="preserve">  </w:t>
      </w:r>
      <w:r w:rsidRPr="00721567">
        <w:rPr>
          <w:sz w:val="20"/>
        </w:rPr>
        <w:t xml:space="preserve">Any other interaction between the RENP and the remotely located principal? </w:t>
      </w:r>
    </w:p>
    <w:p w:rsidR="00CA5AD6" w:rsidRPr="00721567" w:rsidRDefault="00CA5AD6" w:rsidP="00651D87">
      <w:pPr>
        <w:widowControl/>
        <w:spacing w:line="360" w:lineRule="auto"/>
        <w:rPr>
          <w:sz w:val="20"/>
        </w:rPr>
      </w:pPr>
      <w:r w:rsidRPr="00721567">
        <w:rPr>
          <w:b/>
          <w:sz w:val="20"/>
        </w:rPr>
        <w:t>Question</w:t>
      </w:r>
      <w:r w:rsidRPr="00721567">
        <w:rPr>
          <w:sz w:val="20"/>
        </w:rPr>
        <w:t xml:space="preserve"> </w:t>
      </w:r>
      <w:r w:rsidRPr="00721567">
        <w:rPr>
          <w:b/>
          <w:sz w:val="20"/>
        </w:rPr>
        <w:t>F</w:t>
      </w:r>
      <w:r w:rsidRPr="00623201">
        <w:rPr>
          <w:b/>
          <w:sz w:val="20"/>
        </w:rPr>
        <w:t>.</w:t>
      </w:r>
      <w:r w:rsidRPr="00721567">
        <w:rPr>
          <w:b/>
          <w:sz w:val="20"/>
        </w:rPr>
        <w:t>2:</w:t>
      </w:r>
      <w:r w:rsidRPr="00721567">
        <w:rPr>
          <w:sz w:val="20"/>
        </w:rPr>
        <w:t xml:space="preserve">  The Agency invites comment on whether and how the results of Steps (1) – (8) above should be memorialized:</w:t>
      </w:r>
    </w:p>
    <w:p w:rsidR="00CA5AD6" w:rsidRPr="00721567" w:rsidRDefault="00CA5AD6" w:rsidP="00651D87">
      <w:pPr>
        <w:widowControl/>
        <w:spacing w:line="360" w:lineRule="auto"/>
        <w:ind w:left="720"/>
        <w:rPr>
          <w:sz w:val="20"/>
        </w:rPr>
      </w:pPr>
      <w:r w:rsidRPr="00721567">
        <w:rPr>
          <w:b/>
          <w:sz w:val="20"/>
        </w:rPr>
        <w:t>F</w:t>
      </w:r>
      <w:r w:rsidRPr="00582E18">
        <w:rPr>
          <w:b/>
          <w:sz w:val="20"/>
        </w:rPr>
        <w:t>.</w:t>
      </w:r>
      <w:r w:rsidRPr="00721567">
        <w:rPr>
          <w:b/>
          <w:sz w:val="20"/>
        </w:rPr>
        <w:t>2.a:</w:t>
      </w:r>
      <w:r w:rsidR="00582E18">
        <w:rPr>
          <w:b/>
          <w:sz w:val="20"/>
        </w:rPr>
        <w:t xml:space="preserve">  </w:t>
      </w:r>
      <w:r w:rsidRPr="00721567">
        <w:rPr>
          <w:sz w:val="20"/>
        </w:rPr>
        <w:t>Should the results be specifically entered in the electronic journal?</w:t>
      </w:r>
    </w:p>
    <w:p w:rsidR="00CA5AD6" w:rsidRPr="00721567" w:rsidRDefault="00CA5AD6" w:rsidP="00651D87">
      <w:pPr>
        <w:widowControl/>
        <w:spacing w:line="360" w:lineRule="auto"/>
        <w:ind w:left="720"/>
        <w:rPr>
          <w:sz w:val="20"/>
        </w:rPr>
      </w:pPr>
      <w:r w:rsidRPr="00721567">
        <w:rPr>
          <w:b/>
          <w:sz w:val="20"/>
        </w:rPr>
        <w:t>F</w:t>
      </w:r>
      <w:r w:rsidRPr="00582E18">
        <w:rPr>
          <w:b/>
          <w:sz w:val="20"/>
        </w:rPr>
        <w:t>.</w:t>
      </w:r>
      <w:r w:rsidRPr="00721567">
        <w:rPr>
          <w:b/>
          <w:sz w:val="20"/>
        </w:rPr>
        <w:t>2.b:</w:t>
      </w:r>
      <w:r w:rsidR="00582E18">
        <w:rPr>
          <w:b/>
          <w:sz w:val="20"/>
        </w:rPr>
        <w:t xml:space="preserve">  </w:t>
      </w:r>
      <w:r w:rsidRPr="00721567">
        <w:rPr>
          <w:sz w:val="20"/>
        </w:rPr>
        <w:t>Should the results be documented in some other fashion?</w:t>
      </w:r>
    </w:p>
    <w:p w:rsidR="00CA5AD6" w:rsidRPr="00721567" w:rsidRDefault="00CA5AD6" w:rsidP="00651D87">
      <w:pPr>
        <w:widowControl/>
        <w:spacing w:line="360" w:lineRule="auto"/>
        <w:ind w:left="720"/>
        <w:rPr>
          <w:sz w:val="20"/>
        </w:rPr>
      </w:pPr>
      <w:r w:rsidRPr="00721567">
        <w:rPr>
          <w:b/>
          <w:sz w:val="20"/>
        </w:rPr>
        <w:t>F</w:t>
      </w:r>
      <w:r w:rsidRPr="00582E18">
        <w:rPr>
          <w:b/>
          <w:sz w:val="20"/>
        </w:rPr>
        <w:t>.</w:t>
      </w:r>
      <w:r w:rsidRPr="00721567">
        <w:rPr>
          <w:b/>
          <w:sz w:val="20"/>
        </w:rPr>
        <w:t>2.c:</w:t>
      </w:r>
      <w:r w:rsidR="00582E18">
        <w:rPr>
          <w:b/>
          <w:sz w:val="20"/>
        </w:rPr>
        <w:t xml:space="preserve">  </w:t>
      </w:r>
      <w:r w:rsidRPr="00721567">
        <w:rPr>
          <w:sz w:val="20"/>
        </w:rPr>
        <w:t xml:space="preserve">Should the RENP’s affixing the seal or performing the REN be assumed to indicate that Steps (1) – (8) have been completed to the satisfaction of the RENP? </w:t>
      </w:r>
    </w:p>
    <w:p w:rsidR="00CA5AD6" w:rsidRPr="00721567" w:rsidRDefault="00CA5AD6" w:rsidP="00651D87">
      <w:pPr>
        <w:widowControl/>
        <w:spacing w:line="360" w:lineRule="auto"/>
        <w:rPr>
          <w:sz w:val="20"/>
        </w:rPr>
      </w:pPr>
      <w:r w:rsidRPr="00721567">
        <w:rPr>
          <w:sz w:val="20"/>
        </w:rPr>
        <w:t xml:space="preserve">The answer to those questions will affect rules including security and confidentiality and what is entered into the required electronic journal.  </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b/>
          <w:sz w:val="20"/>
        </w:rPr>
        <w:t>Question F.3</w:t>
      </w:r>
      <w:r w:rsidRPr="00623201">
        <w:rPr>
          <w:b/>
          <w:sz w:val="20"/>
        </w:rPr>
        <w:t>:</w:t>
      </w:r>
      <w:r w:rsidRPr="00721567">
        <w:rPr>
          <w:sz w:val="20"/>
        </w:rPr>
        <w:t xml:space="preserve">  In addition, the Agency requests comment on whether there is any reason why the REN does not end when the notarial certificate or jurat is completed by the RENP.  </w:t>
      </w:r>
    </w:p>
    <w:p w:rsidR="00CA5AD6" w:rsidRPr="00721567" w:rsidRDefault="00CA5AD6" w:rsidP="00651D87">
      <w:pPr>
        <w:widowControl/>
        <w:spacing w:line="360" w:lineRule="auto"/>
        <w:ind w:left="720"/>
        <w:rPr>
          <w:sz w:val="20"/>
        </w:rPr>
      </w:pPr>
      <w:r w:rsidRPr="00721567">
        <w:rPr>
          <w:b/>
          <w:sz w:val="20"/>
        </w:rPr>
        <w:t>F.3.a:</w:t>
      </w:r>
      <w:r w:rsidR="00582E18">
        <w:rPr>
          <w:b/>
          <w:sz w:val="20"/>
        </w:rPr>
        <w:t xml:space="preserve">  </w:t>
      </w:r>
      <w:r w:rsidRPr="00721567">
        <w:rPr>
          <w:sz w:val="20"/>
        </w:rPr>
        <w:t xml:space="preserve">For example, is there a reason the REN should end after the RENP completes the entry into the electronic journal? </w:t>
      </w:r>
    </w:p>
    <w:p w:rsidR="00CA5AD6" w:rsidRPr="00721567" w:rsidRDefault="00CA5AD6" w:rsidP="00651D87">
      <w:pPr>
        <w:widowControl/>
        <w:spacing w:line="360" w:lineRule="auto"/>
        <w:ind w:left="720"/>
        <w:rPr>
          <w:sz w:val="20"/>
        </w:rPr>
      </w:pPr>
      <w:r w:rsidRPr="00721567">
        <w:rPr>
          <w:b/>
          <w:sz w:val="20"/>
        </w:rPr>
        <w:t>F.3.b:</w:t>
      </w:r>
      <w:r w:rsidR="00582E18">
        <w:rPr>
          <w:b/>
          <w:sz w:val="20"/>
        </w:rPr>
        <w:t xml:space="preserve">  </w:t>
      </w:r>
      <w:r w:rsidRPr="00721567">
        <w:rPr>
          <w:sz w:val="20"/>
        </w:rPr>
        <w:t xml:space="preserve">Is there some other point in the process when the REN should be deemed to have started and ended? </w:t>
      </w:r>
    </w:p>
    <w:p w:rsidR="009A4DEF" w:rsidRDefault="009A4DEF" w:rsidP="00651D87">
      <w:pPr>
        <w:widowControl/>
        <w:spacing w:line="360" w:lineRule="auto"/>
        <w:ind w:left="720"/>
        <w:rPr>
          <w:sz w:val="20"/>
        </w:rPr>
      </w:pPr>
    </w:p>
    <w:p w:rsidR="004465B1" w:rsidRPr="00721567" w:rsidRDefault="004465B1" w:rsidP="00651D87">
      <w:pPr>
        <w:widowControl/>
        <w:spacing w:line="360" w:lineRule="auto"/>
        <w:ind w:left="720"/>
        <w:rPr>
          <w:sz w:val="20"/>
        </w:rPr>
      </w:pPr>
    </w:p>
    <w:p w:rsidR="00CA5AD6" w:rsidRPr="00721567" w:rsidRDefault="00CA5AD6" w:rsidP="00651D87">
      <w:pPr>
        <w:pStyle w:val="Heading1"/>
        <w:widowControl/>
        <w:spacing w:line="360" w:lineRule="auto"/>
        <w:ind w:left="0"/>
        <w:jc w:val="left"/>
        <w:rPr>
          <w:b/>
          <w:sz w:val="20"/>
        </w:rPr>
      </w:pPr>
      <w:bookmarkStart w:id="7" w:name="_Toc117090620"/>
      <w:r w:rsidRPr="00721567">
        <w:rPr>
          <w:b/>
          <w:sz w:val="20"/>
        </w:rPr>
        <w:lastRenderedPageBreak/>
        <w:t xml:space="preserve">G.  </w:t>
      </w:r>
      <w:r w:rsidR="00831A37">
        <w:rPr>
          <w:b/>
          <w:sz w:val="20"/>
        </w:rPr>
        <w:tab/>
      </w:r>
      <w:r w:rsidR="00682E70" w:rsidRPr="00332993">
        <w:rPr>
          <w:b/>
          <w:caps/>
          <w:sz w:val="20"/>
        </w:rPr>
        <w:t xml:space="preserve">Contents </w:t>
      </w:r>
      <w:r w:rsidRPr="00332993">
        <w:rPr>
          <w:b/>
          <w:caps/>
          <w:sz w:val="20"/>
        </w:rPr>
        <w:t>of the CT Recording</w:t>
      </w:r>
      <w:bookmarkEnd w:id="7"/>
    </w:p>
    <w:p w:rsidR="00CA5AD6" w:rsidRPr="00721567" w:rsidRDefault="00CA5AD6" w:rsidP="00651D87">
      <w:pPr>
        <w:widowControl/>
        <w:spacing w:line="360" w:lineRule="auto"/>
        <w:rPr>
          <w:sz w:val="20"/>
        </w:rPr>
      </w:pPr>
      <w:r w:rsidRPr="00721567">
        <w:rPr>
          <w:sz w:val="20"/>
        </w:rPr>
        <w:t xml:space="preserve">RENA requires making CT Recordings of all REN, with the exception of </w:t>
      </w:r>
      <w:r w:rsidR="004878A2" w:rsidRPr="00721567">
        <w:rPr>
          <w:sz w:val="20"/>
        </w:rPr>
        <w:t xml:space="preserve">oral </w:t>
      </w:r>
      <w:r w:rsidRPr="00721567">
        <w:rPr>
          <w:sz w:val="20"/>
        </w:rPr>
        <w:t xml:space="preserve">oaths or affirmations </w:t>
      </w:r>
      <w:r w:rsidR="004878A2" w:rsidRPr="00721567">
        <w:rPr>
          <w:sz w:val="20"/>
        </w:rPr>
        <w:t xml:space="preserve">administered to witnesses </w:t>
      </w:r>
      <w:r w:rsidRPr="00721567">
        <w:rPr>
          <w:sz w:val="20"/>
        </w:rPr>
        <w:t>in judicial actions or proceedings described below in Section K.</w:t>
      </w:r>
      <w:r w:rsidR="001B364A" w:rsidRPr="00721567">
        <w:rPr>
          <w:rStyle w:val="FootnoteReference"/>
          <w:sz w:val="20"/>
          <w:vertAlign w:val="superscript"/>
        </w:rPr>
        <w:footnoteReference w:id="59"/>
      </w:r>
      <w:r w:rsidRPr="00721567">
        <w:rPr>
          <w:sz w:val="20"/>
        </w:rPr>
        <w:t xml:space="preserve">  In all other circumstances the RENP must notify the remotely located principal that the REN will be recorded.  RENA allows “a party involved in a transaction” to require the RENP to include additional information in the electronic journal.</w:t>
      </w:r>
      <w:r w:rsidRPr="00721567">
        <w:rPr>
          <w:rStyle w:val="FootnoteReference"/>
          <w:sz w:val="20"/>
          <w:vertAlign w:val="superscript"/>
        </w:rPr>
        <w:footnoteReference w:id="60"/>
      </w:r>
      <w:r w:rsidRPr="00721567">
        <w:rPr>
          <w:sz w:val="20"/>
        </w:rPr>
        <w:t xml:space="preserve">  RENA does not mention whether parties may require additions to the CT Recording.  </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RENA requires the Secretary to adopt rules regarding the required elements of the CT Recording.</w:t>
      </w:r>
      <w:r w:rsidR="001B364A" w:rsidRPr="00721567">
        <w:rPr>
          <w:rStyle w:val="FootnoteReference"/>
          <w:sz w:val="20"/>
          <w:vertAlign w:val="superscript"/>
        </w:rPr>
        <w:footnoteReference w:id="61"/>
      </w:r>
      <w:r w:rsidRPr="00721567">
        <w:rPr>
          <w:sz w:val="20"/>
        </w:rPr>
        <w:t xml:space="preserve">  It does not appear to grant any other party the authority to require additional elements in the CT Recording.  </w:t>
      </w:r>
    </w:p>
    <w:p w:rsidR="00F42DBD" w:rsidRDefault="00F42DBD" w:rsidP="00651D87">
      <w:pPr>
        <w:widowControl/>
        <w:spacing w:line="360" w:lineRule="auto"/>
        <w:rPr>
          <w:b/>
          <w:sz w:val="20"/>
        </w:rPr>
      </w:pPr>
    </w:p>
    <w:p w:rsidR="00CA5AD6" w:rsidRPr="00721567" w:rsidRDefault="00CA5AD6" w:rsidP="00651D87">
      <w:pPr>
        <w:widowControl/>
        <w:spacing w:line="360" w:lineRule="auto"/>
        <w:rPr>
          <w:sz w:val="20"/>
        </w:rPr>
      </w:pPr>
      <w:r w:rsidRPr="00721567">
        <w:rPr>
          <w:b/>
          <w:sz w:val="20"/>
        </w:rPr>
        <w:t>Question G.1:</w:t>
      </w:r>
      <w:r w:rsidRPr="00721567">
        <w:rPr>
          <w:sz w:val="20"/>
        </w:rPr>
        <w:t xml:space="preserve">  Please state whether you agree or disagree with the interpretation that only the Secretary has the authority to establish the contents of the CT Recording.  Provide the legal basis for your position if you disagree with that interpretation.  </w:t>
      </w:r>
    </w:p>
    <w:p w:rsidR="00CA5AD6" w:rsidRPr="00721567" w:rsidRDefault="00CA5AD6" w:rsidP="00651D87">
      <w:pPr>
        <w:widowControl/>
        <w:spacing w:line="360" w:lineRule="auto"/>
        <w:rPr>
          <w:sz w:val="20"/>
        </w:rPr>
      </w:pPr>
      <w:r w:rsidRPr="00721567">
        <w:rPr>
          <w:b/>
          <w:sz w:val="20"/>
        </w:rPr>
        <w:t xml:space="preserve">Question G.2: </w:t>
      </w:r>
      <w:r w:rsidRPr="00721567">
        <w:rPr>
          <w:sz w:val="20"/>
        </w:rPr>
        <w:t xml:space="preserve"> Is there any reason that the rules should allow parties to require additions to the CT Recording?  If yes, please explain the basis in the law for your response.</w:t>
      </w:r>
    </w:p>
    <w:p w:rsidR="00CA5AD6" w:rsidRPr="00721567" w:rsidRDefault="00CA5AD6" w:rsidP="00651D87">
      <w:pPr>
        <w:widowControl/>
        <w:spacing w:line="360" w:lineRule="auto"/>
        <w:ind w:left="720"/>
        <w:rPr>
          <w:sz w:val="20"/>
        </w:rPr>
      </w:pPr>
      <w:r w:rsidRPr="00721567">
        <w:rPr>
          <w:b/>
          <w:sz w:val="20"/>
        </w:rPr>
        <w:t>Question G.2</w:t>
      </w:r>
      <w:r w:rsidR="00582E18">
        <w:rPr>
          <w:b/>
          <w:sz w:val="20"/>
        </w:rPr>
        <w:t>.</w:t>
      </w:r>
      <w:r w:rsidRPr="00721567">
        <w:rPr>
          <w:b/>
          <w:sz w:val="20"/>
        </w:rPr>
        <w:t>a:</w:t>
      </w:r>
      <w:r w:rsidR="00582E18">
        <w:rPr>
          <w:b/>
          <w:sz w:val="20"/>
        </w:rPr>
        <w:t xml:space="preserve">  </w:t>
      </w:r>
      <w:r w:rsidR="00831A37">
        <w:rPr>
          <w:b/>
          <w:sz w:val="20"/>
        </w:rPr>
        <w:tab/>
      </w:r>
      <w:r w:rsidRPr="00721567">
        <w:rPr>
          <w:sz w:val="20"/>
        </w:rPr>
        <w:t>If someone other than the Secretary may establish the contents of the CT Recording, is that authority limited to the RENP?</w:t>
      </w:r>
    </w:p>
    <w:p w:rsidR="00CA5AD6" w:rsidRPr="00721567" w:rsidRDefault="00CA5AD6" w:rsidP="00651D87">
      <w:pPr>
        <w:widowControl/>
        <w:spacing w:line="360" w:lineRule="auto"/>
        <w:ind w:left="720"/>
        <w:rPr>
          <w:sz w:val="20"/>
        </w:rPr>
      </w:pPr>
      <w:r w:rsidRPr="00721567">
        <w:rPr>
          <w:b/>
          <w:sz w:val="20"/>
        </w:rPr>
        <w:t>Question G.2</w:t>
      </w:r>
      <w:r w:rsidR="00582E18">
        <w:rPr>
          <w:b/>
          <w:sz w:val="20"/>
        </w:rPr>
        <w:t>.</w:t>
      </w:r>
      <w:r w:rsidRPr="00721567">
        <w:rPr>
          <w:b/>
          <w:sz w:val="20"/>
        </w:rPr>
        <w:t>b:</w:t>
      </w:r>
      <w:r w:rsidR="00582E18">
        <w:rPr>
          <w:b/>
          <w:sz w:val="20"/>
        </w:rPr>
        <w:t xml:space="preserve">  </w:t>
      </w:r>
      <w:r w:rsidRPr="00721567">
        <w:rPr>
          <w:sz w:val="20"/>
        </w:rPr>
        <w:t xml:space="preserve">Or, may other parties to the REN transaction dictate additional contents of the CT Recording?  </w:t>
      </w:r>
    </w:p>
    <w:p w:rsidR="00CA5AD6" w:rsidRPr="00721567" w:rsidRDefault="00CA5AD6" w:rsidP="00651D87">
      <w:pPr>
        <w:widowControl/>
        <w:spacing w:line="360" w:lineRule="auto"/>
        <w:ind w:left="720"/>
        <w:rPr>
          <w:sz w:val="20"/>
        </w:rPr>
      </w:pPr>
      <w:r w:rsidRPr="00721567">
        <w:rPr>
          <w:b/>
          <w:sz w:val="20"/>
        </w:rPr>
        <w:t>Question G.2</w:t>
      </w:r>
      <w:r w:rsidR="00582E18">
        <w:rPr>
          <w:b/>
          <w:sz w:val="20"/>
        </w:rPr>
        <w:t>.</w:t>
      </w:r>
      <w:r w:rsidRPr="00721567">
        <w:rPr>
          <w:b/>
          <w:sz w:val="20"/>
        </w:rPr>
        <w:t>c:</w:t>
      </w:r>
      <w:r w:rsidR="00582E18">
        <w:rPr>
          <w:b/>
          <w:sz w:val="20"/>
        </w:rPr>
        <w:t xml:space="preserve">  </w:t>
      </w:r>
      <w:r w:rsidR="00831A37">
        <w:rPr>
          <w:b/>
          <w:sz w:val="20"/>
        </w:rPr>
        <w:tab/>
      </w:r>
      <w:r w:rsidRPr="00721567">
        <w:rPr>
          <w:sz w:val="20"/>
        </w:rPr>
        <w:t xml:space="preserve">If yes, who might such parties be?  </w:t>
      </w:r>
    </w:p>
    <w:p w:rsidR="00CA5AD6" w:rsidRPr="00721567" w:rsidRDefault="00CA5AD6" w:rsidP="00651D87">
      <w:pPr>
        <w:widowControl/>
        <w:spacing w:line="360" w:lineRule="auto"/>
        <w:ind w:left="720"/>
        <w:rPr>
          <w:sz w:val="20"/>
        </w:rPr>
      </w:pPr>
      <w:r w:rsidRPr="00721567">
        <w:rPr>
          <w:b/>
          <w:sz w:val="20"/>
        </w:rPr>
        <w:t>Question G.2</w:t>
      </w:r>
      <w:r w:rsidR="00582E18">
        <w:rPr>
          <w:b/>
          <w:sz w:val="20"/>
        </w:rPr>
        <w:t>.</w:t>
      </w:r>
      <w:r w:rsidRPr="00721567">
        <w:rPr>
          <w:b/>
          <w:sz w:val="20"/>
        </w:rPr>
        <w:t>d:</w:t>
      </w:r>
      <w:r w:rsidR="00582E18">
        <w:rPr>
          <w:b/>
          <w:sz w:val="20"/>
        </w:rPr>
        <w:t xml:space="preserve">  </w:t>
      </w:r>
      <w:r w:rsidRPr="00721567">
        <w:rPr>
          <w:sz w:val="20"/>
        </w:rPr>
        <w:t>Are there risks to allowing the RENP to require additional elements in the CT Recording and, if so, are such risks unacceptable?  Again, please provide legal support where possible.</w:t>
      </w:r>
    </w:p>
    <w:p w:rsidR="00CA5AD6" w:rsidRPr="00721567" w:rsidRDefault="00CA5AD6" w:rsidP="00651D87">
      <w:pPr>
        <w:widowControl/>
        <w:spacing w:line="360" w:lineRule="auto"/>
        <w:rPr>
          <w:sz w:val="20"/>
        </w:rPr>
      </w:pPr>
      <w:r w:rsidRPr="00721567">
        <w:rPr>
          <w:b/>
          <w:sz w:val="20"/>
        </w:rPr>
        <w:t>Question G.</w:t>
      </w:r>
      <w:r w:rsidR="00F42DBD">
        <w:rPr>
          <w:b/>
          <w:sz w:val="20"/>
        </w:rPr>
        <w:t>3</w:t>
      </w:r>
      <w:r w:rsidRPr="00721567">
        <w:rPr>
          <w:b/>
          <w:sz w:val="20"/>
        </w:rPr>
        <w:t>:</w:t>
      </w:r>
      <w:r w:rsidRPr="00721567">
        <w:rPr>
          <w:sz w:val="20"/>
        </w:rPr>
        <w:t xml:space="preserve">  Should the rules require specific content be included in the CT Recording?</w:t>
      </w:r>
    </w:p>
    <w:p w:rsidR="00CA5AD6" w:rsidRPr="00721567" w:rsidRDefault="00CA5AD6" w:rsidP="00582E18">
      <w:pPr>
        <w:widowControl/>
        <w:spacing w:line="360" w:lineRule="auto"/>
        <w:ind w:left="720"/>
        <w:rPr>
          <w:sz w:val="20"/>
        </w:rPr>
      </w:pPr>
      <w:r w:rsidRPr="00721567">
        <w:rPr>
          <w:b/>
          <w:sz w:val="20"/>
        </w:rPr>
        <w:t>Question G.</w:t>
      </w:r>
      <w:r w:rsidR="00F42DBD">
        <w:rPr>
          <w:b/>
          <w:sz w:val="20"/>
        </w:rPr>
        <w:t>3</w:t>
      </w:r>
      <w:r w:rsidR="00582E18">
        <w:rPr>
          <w:b/>
          <w:sz w:val="20"/>
        </w:rPr>
        <w:t>.</w:t>
      </w:r>
      <w:r w:rsidRPr="00721567">
        <w:rPr>
          <w:b/>
          <w:sz w:val="20"/>
        </w:rPr>
        <w:t>a:</w:t>
      </w:r>
      <w:r w:rsidR="00582E18">
        <w:rPr>
          <w:b/>
          <w:sz w:val="20"/>
        </w:rPr>
        <w:t xml:space="preserve">  </w:t>
      </w:r>
      <w:r w:rsidR="00831A37">
        <w:rPr>
          <w:sz w:val="20"/>
        </w:rPr>
        <w:tab/>
      </w:r>
      <w:r w:rsidRPr="00721567">
        <w:rPr>
          <w:sz w:val="20"/>
        </w:rPr>
        <w:t xml:space="preserve">If yes, other than the actual REN, what should that content include? </w:t>
      </w:r>
    </w:p>
    <w:p w:rsidR="00CA5AD6" w:rsidRPr="00721567" w:rsidRDefault="00CA5AD6" w:rsidP="00651D87">
      <w:pPr>
        <w:widowControl/>
        <w:spacing w:line="360" w:lineRule="auto"/>
        <w:rPr>
          <w:sz w:val="20"/>
        </w:rPr>
      </w:pPr>
      <w:r w:rsidRPr="00721567">
        <w:rPr>
          <w:b/>
          <w:sz w:val="20"/>
        </w:rPr>
        <w:t>Question G.</w:t>
      </w:r>
      <w:r w:rsidR="00F42DBD">
        <w:rPr>
          <w:b/>
          <w:sz w:val="20"/>
        </w:rPr>
        <w:t>4</w:t>
      </w:r>
      <w:r w:rsidRPr="00721567">
        <w:rPr>
          <w:b/>
          <w:sz w:val="20"/>
        </w:rPr>
        <w:t>:</w:t>
      </w:r>
      <w:r w:rsidR="00623201">
        <w:rPr>
          <w:b/>
          <w:sz w:val="20"/>
        </w:rPr>
        <w:t xml:space="preserve">  </w:t>
      </w:r>
      <w:r w:rsidRPr="00721567">
        <w:rPr>
          <w:sz w:val="20"/>
        </w:rPr>
        <w:t>Is there any content that should be specifically excluded from the CT Recording?  Please explain your response.</w:t>
      </w:r>
    </w:p>
    <w:p w:rsidR="00EC13DB" w:rsidRDefault="00EC13DB" w:rsidP="00651D87">
      <w:pPr>
        <w:pStyle w:val="Heading1"/>
        <w:widowControl/>
        <w:spacing w:line="360" w:lineRule="auto"/>
        <w:ind w:left="0"/>
        <w:jc w:val="left"/>
        <w:rPr>
          <w:b/>
          <w:sz w:val="20"/>
        </w:rPr>
      </w:pPr>
    </w:p>
    <w:p w:rsidR="00CA5AD6" w:rsidRPr="00721567" w:rsidRDefault="00CA5AD6" w:rsidP="00651D87">
      <w:pPr>
        <w:pStyle w:val="Heading1"/>
        <w:widowControl/>
        <w:spacing w:line="360" w:lineRule="auto"/>
        <w:ind w:left="0"/>
        <w:jc w:val="left"/>
        <w:rPr>
          <w:b/>
          <w:sz w:val="20"/>
        </w:rPr>
      </w:pPr>
      <w:bookmarkStart w:id="8" w:name="_Toc117090621"/>
      <w:r w:rsidRPr="00721567">
        <w:rPr>
          <w:b/>
          <w:sz w:val="20"/>
        </w:rPr>
        <w:t xml:space="preserve">H.  </w:t>
      </w:r>
      <w:r w:rsidR="00831A37">
        <w:rPr>
          <w:b/>
          <w:sz w:val="20"/>
        </w:rPr>
        <w:tab/>
      </w:r>
      <w:r w:rsidR="00682E70" w:rsidRPr="00332993">
        <w:rPr>
          <w:b/>
          <w:caps/>
          <w:sz w:val="20"/>
        </w:rPr>
        <w:t>Contents of t</w:t>
      </w:r>
      <w:r w:rsidRPr="00332993">
        <w:rPr>
          <w:b/>
          <w:caps/>
          <w:sz w:val="20"/>
        </w:rPr>
        <w:t>he Electronic Journal</w:t>
      </w:r>
      <w:bookmarkEnd w:id="8"/>
      <w:r w:rsidRPr="00332993">
        <w:rPr>
          <w:b/>
          <w:caps/>
          <w:sz w:val="20"/>
        </w:rPr>
        <w:t xml:space="preserve"> </w:t>
      </w:r>
      <w:r w:rsidRPr="00721567">
        <w:rPr>
          <w:b/>
          <w:sz w:val="20"/>
        </w:rPr>
        <w:t xml:space="preserve"> </w:t>
      </w:r>
    </w:p>
    <w:p w:rsidR="00CA5AD6" w:rsidRPr="00721567" w:rsidRDefault="00CA5AD6" w:rsidP="00651D87">
      <w:pPr>
        <w:widowControl/>
        <w:spacing w:line="360" w:lineRule="auto"/>
        <w:rPr>
          <w:sz w:val="20"/>
        </w:rPr>
      </w:pPr>
      <w:r w:rsidRPr="00721567">
        <w:rPr>
          <w:sz w:val="20"/>
        </w:rPr>
        <w:t>RENA requires the Secretary to adopt rules regarding the content of the electronic journal.</w:t>
      </w:r>
      <w:r w:rsidRPr="00721567">
        <w:rPr>
          <w:sz w:val="20"/>
          <w:vertAlign w:val="superscript"/>
        </w:rPr>
        <w:footnoteReference w:id="62"/>
      </w:r>
      <w:r w:rsidRPr="00721567">
        <w:rPr>
          <w:sz w:val="20"/>
        </w:rPr>
        <w:t xml:space="preserve">  The electronic journal will be a record of the REN performed by the RENP.  The electronic journal</w:t>
      </w:r>
      <w:r w:rsidR="00B2303F">
        <w:rPr>
          <w:sz w:val="20"/>
        </w:rPr>
        <w:t xml:space="preserve"> helps protect</w:t>
      </w:r>
      <w:r w:rsidRPr="00721567">
        <w:rPr>
          <w:sz w:val="20"/>
        </w:rPr>
        <w:t xml:space="preserve"> the public from fraud by ensuring that there is a record of the circumstances surrounding the REN.  The RENP </w:t>
      </w:r>
      <w:r w:rsidR="00B2303F">
        <w:rPr>
          <w:sz w:val="20"/>
        </w:rPr>
        <w:t>may</w:t>
      </w:r>
      <w:r w:rsidRPr="00721567">
        <w:rPr>
          <w:sz w:val="20"/>
        </w:rPr>
        <w:t xml:space="preserve"> also </w:t>
      </w:r>
      <w:r w:rsidR="00B2303F">
        <w:rPr>
          <w:sz w:val="20"/>
        </w:rPr>
        <w:t xml:space="preserve">be </w:t>
      </w:r>
      <w:r w:rsidRPr="00721567">
        <w:rPr>
          <w:sz w:val="20"/>
        </w:rPr>
        <w:t xml:space="preserve">protected by the entries in the electronic journal.  </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lastRenderedPageBreak/>
        <w:t>The electronic journal always includes elements of the REN act such as date, time, and name of the remotely located principal.  It is possible that the platform technology may automatically enter these elements.  The rules must also allow “a party involved in a transaction that utilizes” REN to require additional information to be included in the electronic journal.</w:t>
      </w:r>
      <w:r w:rsidRPr="00721567">
        <w:rPr>
          <w:sz w:val="20"/>
          <w:vertAlign w:val="superscript"/>
        </w:rPr>
        <w:footnoteReference w:id="63"/>
      </w:r>
      <w:r w:rsidRPr="00721567">
        <w:rPr>
          <w:sz w:val="20"/>
        </w:rPr>
        <w:t xml:space="preserve">    </w:t>
      </w:r>
    </w:p>
    <w:p w:rsidR="00F42DBD" w:rsidRDefault="00F42DBD" w:rsidP="00651D87">
      <w:pPr>
        <w:widowControl/>
        <w:spacing w:line="360" w:lineRule="auto"/>
        <w:rPr>
          <w:b/>
          <w:sz w:val="20"/>
        </w:rPr>
      </w:pPr>
    </w:p>
    <w:p w:rsidR="00CA5AD6" w:rsidRPr="00721567" w:rsidRDefault="00CA5AD6" w:rsidP="00651D87">
      <w:pPr>
        <w:widowControl/>
        <w:spacing w:line="360" w:lineRule="auto"/>
        <w:rPr>
          <w:sz w:val="20"/>
        </w:rPr>
      </w:pPr>
      <w:r w:rsidRPr="00721567">
        <w:rPr>
          <w:b/>
          <w:sz w:val="20"/>
        </w:rPr>
        <w:t>Question H.1</w:t>
      </w:r>
      <w:r w:rsidRPr="00623201">
        <w:rPr>
          <w:b/>
          <w:sz w:val="20"/>
        </w:rPr>
        <w:t>:</w:t>
      </w:r>
      <w:r w:rsidRPr="00721567">
        <w:rPr>
          <w:sz w:val="20"/>
        </w:rPr>
        <w:t xml:space="preserve">  Should the rules define “a party involved in a transaction that utilizes” REN?  </w:t>
      </w:r>
    </w:p>
    <w:p w:rsidR="00CA5AD6" w:rsidRPr="00721567" w:rsidRDefault="00CA5AD6" w:rsidP="00582E18">
      <w:pPr>
        <w:widowControl/>
        <w:spacing w:line="360" w:lineRule="auto"/>
        <w:ind w:left="720"/>
        <w:rPr>
          <w:sz w:val="20"/>
        </w:rPr>
      </w:pPr>
      <w:r w:rsidRPr="00721567">
        <w:rPr>
          <w:b/>
          <w:sz w:val="20"/>
        </w:rPr>
        <w:t>Question H.1</w:t>
      </w:r>
      <w:r w:rsidR="00582E18">
        <w:rPr>
          <w:b/>
          <w:sz w:val="20"/>
        </w:rPr>
        <w:t>.</w:t>
      </w:r>
      <w:r w:rsidRPr="00721567">
        <w:rPr>
          <w:b/>
          <w:sz w:val="20"/>
        </w:rPr>
        <w:t>a:</w:t>
      </w:r>
      <w:r w:rsidR="00582E18">
        <w:rPr>
          <w:b/>
          <w:sz w:val="20"/>
        </w:rPr>
        <w:t xml:space="preserve">  </w:t>
      </w:r>
      <w:r w:rsidR="00080708">
        <w:rPr>
          <w:b/>
          <w:sz w:val="20"/>
        </w:rPr>
        <w:tab/>
      </w:r>
      <w:r w:rsidRPr="00721567">
        <w:rPr>
          <w:sz w:val="20"/>
        </w:rPr>
        <w:t xml:space="preserve">If not, how will the RENP be able to discern such parties?  </w:t>
      </w:r>
    </w:p>
    <w:p w:rsidR="00CA5AD6" w:rsidRPr="00721567" w:rsidRDefault="00CA5AD6" w:rsidP="00582E18">
      <w:pPr>
        <w:widowControl/>
        <w:spacing w:line="360" w:lineRule="auto"/>
        <w:ind w:left="720"/>
        <w:rPr>
          <w:sz w:val="20"/>
        </w:rPr>
      </w:pPr>
      <w:r w:rsidRPr="00721567">
        <w:rPr>
          <w:b/>
          <w:sz w:val="20"/>
        </w:rPr>
        <w:t>Question H.1.b:</w:t>
      </w:r>
      <w:r w:rsidR="00582E18">
        <w:rPr>
          <w:b/>
          <w:sz w:val="20"/>
        </w:rPr>
        <w:t xml:space="preserve">  </w:t>
      </w:r>
      <w:r w:rsidRPr="00721567">
        <w:rPr>
          <w:sz w:val="20"/>
        </w:rPr>
        <w:t xml:space="preserve">If so, how should the phrase be defined?  </w:t>
      </w:r>
    </w:p>
    <w:p w:rsidR="00CA5AD6" w:rsidRPr="00721567" w:rsidRDefault="00CA5AD6" w:rsidP="00651D87">
      <w:pPr>
        <w:widowControl/>
        <w:spacing w:line="360" w:lineRule="auto"/>
        <w:rPr>
          <w:sz w:val="20"/>
        </w:rPr>
      </w:pPr>
      <w:r w:rsidRPr="00721567">
        <w:rPr>
          <w:b/>
          <w:sz w:val="20"/>
        </w:rPr>
        <w:t>Question H.2:</w:t>
      </w:r>
      <w:r w:rsidRPr="00721567">
        <w:rPr>
          <w:sz w:val="20"/>
        </w:rPr>
        <w:t xml:space="preserve">  Should the rules put limits on the type of information such a party may require to be included in the electronic journal?  </w:t>
      </w:r>
    </w:p>
    <w:p w:rsidR="00CA5AD6" w:rsidRPr="00721567" w:rsidRDefault="00CA5AD6" w:rsidP="00651D87">
      <w:pPr>
        <w:widowControl/>
        <w:spacing w:line="360" w:lineRule="auto"/>
        <w:rPr>
          <w:sz w:val="20"/>
        </w:rPr>
      </w:pPr>
      <w:r w:rsidRPr="00721567">
        <w:rPr>
          <w:b/>
          <w:sz w:val="20"/>
        </w:rPr>
        <w:t xml:space="preserve">Question H.3: </w:t>
      </w:r>
      <w:r w:rsidRPr="00721567">
        <w:rPr>
          <w:sz w:val="20"/>
        </w:rPr>
        <w:t xml:space="preserve"> Should the rules provide for circumstances in which the RENP may reject a request that more information be included in the electronic journal?  </w:t>
      </w:r>
    </w:p>
    <w:p w:rsidR="00CA5AD6" w:rsidRPr="00721567" w:rsidRDefault="00CA5AD6" w:rsidP="00651D87">
      <w:pPr>
        <w:widowControl/>
        <w:spacing w:line="360" w:lineRule="auto"/>
        <w:ind w:left="720"/>
        <w:rPr>
          <w:sz w:val="20"/>
        </w:rPr>
      </w:pPr>
      <w:r w:rsidRPr="00721567">
        <w:rPr>
          <w:b/>
          <w:sz w:val="20"/>
        </w:rPr>
        <w:t>Question H.3</w:t>
      </w:r>
      <w:r w:rsidR="00582E18">
        <w:rPr>
          <w:b/>
          <w:sz w:val="20"/>
        </w:rPr>
        <w:t>.</w:t>
      </w:r>
      <w:r w:rsidRPr="00721567">
        <w:rPr>
          <w:b/>
          <w:sz w:val="20"/>
        </w:rPr>
        <w:t>a:</w:t>
      </w:r>
      <w:r w:rsidR="00582E18">
        <w:rPr>
          <w:b/>
          <w:sz w:val="20"/>
        </w:rPr>
        <w:t xml:space="preserve">  </w:t>
      </w:r>
      <w:r w:rsidR="00080708">
        <w:rPr>
          <w:sz w:val="20"/>
        </w:rPr>
        <w:tab/>
      </w:r>
      <w:r w:rsidRPr="00721567">
        <w:rPr>
          <w:sz w:val="20"/>
        </w:rPr>
        <w:t>If yes, what are they?  Please explain and provide legal support for your responses.</w:t>
      </w:r>
    </w:p>
    <w:p w:rsidR="00CA5AD6" w:rsidRPr="00721567" w:rsidRDefault="00CA5AD6" w:rsidP="00651D87">
      <w:pPr>
        <w:widowControl/>
        <w:spacing w:line="360" w:lineRule="auto"/>
        <w:rPr>
          <w:sz w:val="20"/>
        </w:rPr>
      </w:pPr>
      <w:r w:rsidRPr="00721567">
        <w:rPr>
          <w:b/>
          <w:sz w:val="20"/>
        </w:rPr>
        <w:t xml:space="preserve">Question H.4: </w:t>
      </w:r>
      <w:r w:rsidRPr="00721567">
        <w:rPr>
          <w:sz w:val="20"/>
        </w:rPr>
        <w:t xml:space="preserve"> Should the rules require an entry into the electronic journal regarding </w:t>
      </w:r>
      <w:r w:rsidR="00A93EA1" w:rsidRPr="00721567">
        <w:rPr>
          <w:sz w:val="20"/>
        </w:rPr>
        <w:t xml:space="preserve">who requested </w:t>
      </w:r>
      <w:r w:rsidRPr="00721567">
        <w:rPr>
          <w:sz w:val="20"/>
        </w:rPr>
        <w:t xml:space="preserve">that </w:t>
      </w:r>
      <w:r w:rsidR="00A93EA1" w:rsidRPr="00721567">
        <w:rPr>
          <w:sz w:val="20"/>
        </w:rPr>
        <w:t xml:space="preserve">additional information </w:t>
      </w:r>
      <w:r w:rsidRPr="00721567">
        <w:rPr>
          <w:sz w:val="20"/>
        </w:rPr>
        <w:t xml:space="preserve">and, if so, what should such an entry include?  </w:t>
      </w:r>
    </w:p>
    <w:p w:rsidR="00C13256" w:rsidRPr="00721567" w:rsidRDefault="00C13256" w:rsidP="00651D87">
      <w:pPr>
        <w:widowControl/>
        <w:spacing w:line="360" w:lineRule="auto"/>
        <w:rPr>
          <w:sz w:val="20"/>
        </w:rPr>
      </w:pPr>
    </w:p>
    <w:p w:rsidR="00CA5AD6" w:rsidRPr="00332993" w:rsidRDefault="00CA5AD6" w:rsidP="00651D87">
      <w:pPr>
        <w:pStyle w:val="Heading1"/>
        <w:widowControl/>
        <w:spacing w:line="360" w:lineRule="auto"/>
        <w:ind w:left="0"/>
        <w:jc w:val="left"/>
        <w:rPr>
          <w:b/>
          <w:caps/>
          <w:sz w:val="20"/>
        </w:rPr>
      </w:pPr>
      <w:bookmarkStart w:id="9" w:name="_Toc117090622"/>
      <w:r w:rsidRPr="00721567">
        <w:rPr>
          <w:b/>
          <w:sz w:val="20"/>
        </w:rPr>
        <w:t xml:space="preserve">I.  </w:t>
      </w:r>
      <w:r w:rsidR="00080708">
        <w:rPr>
          <w:b/>
          <w:sz w:val="20"/>
        </w:rPr>
        <w:tab/>
      </w:r>
      <w:r w:rsidRPr="00332993">
        <w:rPr>
          <w:b/>
          <w:caps/>
          <w:sz w:val="20"/>
        </w:rPr>
        <w:t>Surrender of Electronic Journal and CT Recording</w:t>
      </w:r>
      <w:bookmarkEnd w:id="9"/>
    </w:p>
    <w:p w:rsidR="00CA5AD6" w:rsidRPr="00721567" w:rsidRDefault="00CA5AD6" w:rsidP="00651D87">
      <w:pPr>
        <w:widowControl/>
        <w:spacing w:line="360" w:lineRule="auto"/>
        <w:rPr>
          <w:sz w:val="20"/>
        </w:rPr>
      </w:pPr>
      <w:r w:rsidRPr="00721567">
        <w:rPr>
          <w:sz w:val="20"/>
        </w:rPr>
        <w:t>RENA acknowledges that there may be times when the RENP will not or cannot be the custodian of the electronic journal.  The statute lists “resignation, revocation, or expiration of a notary commission or death or adjudication of incompetency” as events when such surrender of the electronic journal may be required.</w:t>
      </w:r>
      <w:r w:rsidRPr="00721567">
        <w:rPr>
          <w:rStyle w:val="FootnoteReference"/>
          <w:sz w:val="20"/>
          <w:vertAlign w:val="superscript"/>
        </w:rPr>
        <w:footnoteReference w:id="64"/>
      </w:r>
      <w:r w:rsidRPr="00721567">
        <w:rPr>
          <w:sz w:val="20"/>
        </w:rPr>
        <w:t xml:space="preserve">  There is no similar list of events applicable to surrender of the CT Recording.  RENA does not specify any time frame within which the surrender must occur, nor the recipient of the surrender.</w:t>
      </w:r>
      <w:r w:rsidRPr="00721567">
        <w:rPr>
          <w:sz w:val="20"/>
          <w:vertAlign w:val="superscript"/>
        </w:rPr>
        <w:footnoteReference w:id="65"/>
      </w:r>
      <w:r w:rsidRPr="00721567">
        <w:rPr>
          <w:sz w:val="20"/>
        </w:rPr>
        <w:t xml:space="preserve">  RENA states further that the Secretary may adopt rules regarding the surrender of both the electronic journal and the CT Recording.</w:t>
      </w:r>
      <w:r w:rsidRPr="00721567">
        <w:rPr>
          <w:sz w:val="20"/>
          <w:vertAlign w:val="superscript"/>
        </w:rPr>
        <w:footnoteReference w:id="66"/>
      </w:r>
      <w:r w:rsidRPr="00721567">
        <w:rPr>
          <w:sz w:val="20"/>
          <w:vertAlign w:val="superscript"/>
        </w:rPr>
        <w:t xml:space="preserve"> </w:t>
      </w:r>
      <w:r w:rsidRPr="00721567">
        <w:rPr>
          <w:sz w:val="20"/>
        </w:rPr>
        <w:t xml:space="preserve"> </w:t>
      </w:r>
      <w:r w:rsidR="00C06BFB" w:rsidRPr="00721567">
        <w:rPr>
          <w:sz w:val="20"/>
        </w:rPr>
        <w:t>Elsewhere, RENA permits an RENP to store the electronic journal and CT Recordings with a “duly appointed” steward that is a third-party vendor approved by the Secretary.</w:t>
      </w:r>
      <w:r w:rsidR="00C06BFB" w:rsidRPr="00721567">
        <w:rPr>
          <w:sz w:val="20"/>
          <w:vertAlign w:val="superscript"/>
        </w:rPr>
        <w:footnoteReference w:id="67"/>
      </w:r>
    </w:p>
    <w:p w:rsidR="00F42DBD" w:rsidRDefault="00F42DBD" w:rsidP="00651D87">
      <w:pPr>
        <w:widowControl/>
        <w:spacing w:line="360" w:lineRule="auto"/>
        <w:rPr>
          <w:b/>
          <w:sz w:val="20"/>
        </w:rPr>
      </w:pPr>
    </w:p>
    <w:p w:rsidR="00CA5AD6" w:rsidRPr="00721567" w:rsidRDefault="00CA5AD6" w:rsidP="00651D87">
      <w:pPr>
        <w:widowControl/>
        <w:spacing w:line="360" w:lineRule="auto"/>
        <w:rPr>
          <w:sz w:val="20"/>
        </w:rPr>
      </w:pPr>
      <w:r w:rsidRPr="00721567">
        <w:rPr>
          <w:b/>
          <w:sz w:val="20"/>
        </w:rPr>
        <w:t>Question I.1:</w:t>
      </w:r>
      <w:r w:rsidRPr="00721567">
        <w:rPr>
          <w:sz w:val="20"/>
        </w:rPr>
        <w:t xml:space="preserve">  Is there any reason why the Secretary should adopt rules regarding the surrender of the </w:t>
      </w:r>
      <w:r w:rsidR="0057492C" w:rsidRPr="00721567">
        <w:rPr>
          <w:sz w:val="20"/>
        </w:rPr>
        <w:t xml:space="preserve">CT Recording </w:t>
      </w:r>
      <w:r w:rsidRPr="00721567">
        <w:rPr>
          <w:sz w:val="20"/>
        </w:rPr>
        <w:t xml:space="preserve">that differ substantively from those regarding the </w:t>
      </w:r>
      <w:r w:rsidR="0057492C" w:rsidRPr="00721567">
        <w:rPr>
          <w:sz w:val="20"/>
        </w:rPr>
        <w:t>electronic journal</w:t>
      </w:r>
      <w:r w:rsidRPr="00721567">
        <w:rPr>
          <w:sz w:val="20"/>
        </w:rPr>
        <w:t>?  Please explain and state the legal basis.</w:t>
      </w:r>
    </w:p>
    <w:p w:rsidR="00CA5AD6" w:rsidRPr="00721567" w:rsidRDefault="00CA5AD6" w:rsidP="00651D87">
      <w:pPr>
        <w:widowControl/>
        <w:spacing w:line="360" w:lineRule="auto"/>
        <w:rPr>
          <w:sz w:val="20"/>
        </w:rPr>
      </w:pPr>
      <w:r w:rsidRPr="00721567">
        <w:rPr>
          <w:b/>
          <w:sz w:val="20"/>
        </w:rPr>
        <w:t>Question I.2:</w:t>
      </w:r>
      <w:r w:rsidRPr="00721567">
        <w:rPr>
          <w:sz w:val="20"/>
        </w:rPr>
        <w:t xml:space="preserve">  Other than </w:t>
      </w:r>
      <w:r w:rsidR="00466758">
        <w:rPr>
          <w:sz w:val="20"/>
        </w:rPr>
        <w:t xml:space="preserve">by </w:t>
      </w:r>
      <w:r w:rsidRPr="00721567">
        <w:rPr>
          <w:sz w:val="20"/>
        </w:rPr>
        <w:t>court order (as provided by RENA), under what additional circumstances would it be ap</w:t>
      </w:r>
      <w:r w:rsidR="00623201">
        <w:rPr>
          <w:sz w:val="20"/>
        </w:rPr>
        <w:t>p</w:t>
      </w:r>
      <w:r w:rsidRPr="00721567">
        <w:rPr>
          <w:sz w:val="20"/>
        </w:rPr>
        <w:t>ropriate for rules to permit such surrender or destruction?</w:t>
      </w:r>
    </w:p>
    <w:p w:rsidR="00CA5AD6" w:rsidRPr="00721567" w:rsidRDefault="00CA5AD6" w:rsidP="00651D87">
      <w:pPr>
        <w:widowControl/>
        <w:spacing w:line="360" w:lineRule="auto"/>
        <w:rPr>
          <w:sz w:val="20"/>
        </w:rPr>
      </w:pPr>
      <w:r w:rsidRPr="00721567">
        <w:rPr>
          <w:b/>
          <w:sz w:val="20"/>
        </w:rPr>
        <w:t xml:space="preserve">Question I.3:  </w:t>
      </w:r>
      <w:r w:rsidRPr="00721567">
        <w:rPr>
          <w:sz w:val="20"/>
        </w:rPr>
        <w:t xml:space="preserve">Should the mandatory surrender rules apply if the RENP resigns only the registration as an RENP or eNotary, or </w:t>
      </w:r>
      <w:r w:rsidR="0057492C" w:rsidRPr="00721567">
        <w:rPr>
          <w:sz w:val="20"/>
        </w:rPr>
        <w:t xml:space="preserve">should mandatory surrender occur </w:t>
      </w:r>
      <w:r w:rsidRPr="00721567">
        <w:rPr>
          <w:sz w:val="20"/>
        </w:rPr>
        <w:t xml:space="preserve">only if the RENP resigns the </w:t>
      </w:r>
      <w:r w:rsidR="008467EF">
        <w:rPr>
          <w:sz w:val="20"/>
        </w:rPr>
        <w:t xml:space="preserve">core </w:t>
      </w:r>
      <w:r w:rsidRPr="00721567">
        <w:rPr>
          <w:sz w:val="20"/>
        </w:rPr>
        <w:t xml:space="preserve">commission as a Notary Public?  </w:t>
      </w:r>
    </w:p>
    <w:p w:rsidR="00CA5AD6" w:rsidRPr="00721567" w:rsidRDefault="00CA5AD6" w:rsidP="00651D87">
      <w:pPr>
        <w:widowControl/>
        <w:spacing w:line="360" w:lineRule="auto"/>
        <w:rPr>
          <w:sz w:val="20"/>
        </w:rPr>
      </w:pPr>
      <w:r w:rsidRPr="00721567">
        <w:rPr>
          <w:b/>
          <w:sz w:val="20"/>
        </w:rPr>
        <w:lastRenderedPageBreak/>
        <w:t>Question I.4:</w:t>
      </w:r>
      <w:r w:rsidRPr="00721567">
        <w:rPr>
          <w:sz w:val="20"/>
        </w:rPr>
        <w:t xml:space="preserve">  How much time should the rules allow for the RENP to surrender the electronic journal and CT Recording?</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Agency “revocation” of a commission similarly triggers a requirement that the RENP surrender the electronic journal and CT Recording.</w:t>
      </w:r>
      <w:r w:rsidR="00AA53A9" w:rsidRPr="00721567">
        <w:rPr>
          <w:rStyle w:val="FootnoteReference"/>
          <w:sz w:val="20"/>
          <w:vertAlign w:val="superscript"/>
        </w:rPr>
        <w:footnoteReference w:id="68"/>
      </w:r>
      <w:r w:rsidRPr="00721567">
        <w:rPr>
          <w:sz w:val="20"/>
        </w:rPr>
        <w:t xml:space="preserve">  </w:t>
      </w:r>
    </w:p>
    <w:p w:rsidR="00F42DBD" w:rsidRDefault="00F42DBD" w:rsidP="00651D87">
      <w:pPr>
        <w:widowControl/>
        <w:spacing w:line="360" w:lineRule="auto"/>
        <w:rPr>
          <w:b/>
          <w:sz w:val="20"/>
        </w:rPr>
      </w:pPr>
    </w:p>
    <w:p w:rsidR="00CA5AD6" w:rsidRPr="00721567" w:rsidRDefault="00CA5AD6" w:rsidP="00651D87">
      <w:pPr>
        <w:widowControl/>
        <w:spacing w:line="360" w:lineRule="auto"/>
        <w:rPr>
          <w:sz w:val="20"/>
        </w:rPr>
      </w:pPr>
      <w:r w:rsidRPr="00721567">
        <w:rPr>
          <w:b/>
          <w:sz w:val="20"/>
        </w:rPr>
        <w:t xml:space="preserve">Question I.5: </w:t>
      </w:r>
      <w:r w:rsidRPr="00721567">
        <w:rPr>
          <w:sz w:val="20"/>
        </w:rPr>
        <w:t xml:space="preserve"> Should surrender occur whenever the Secretary revokes the specialized </w:t>
      </w:r>
      <w:r w:rsidR="00E877EF" w:rsidRPr="00721567">
        <w:rPr>
          <w:sz w:val="20"/>
        </w:rPr>
        <w:t>registration to</w:t>
      </w:r>
      <w:r w:rsidRPr="00721567">
        <w:rPr>
          <w:sz w:val="20"/>
        </w:rPr>
        <w:t xml:space="preserve"> act as an eNotary or as an RENP</w:t>
      </w:r>
      <w:r w:rsidR="00E877EF" w:rsidRPr="00721567">
        <w:rPr>
          <w:sz w:val="20"/>
        </w:rPr>
        <w:t>,</w:t>
      </w:r>
      <w:r w:rsidRPr="00721567">
        <w:rPr>
          <w:sz w:val="20"/>
        </w:rPr>
        <w:t xml:space="preserve"> or only if the Secretary revokes the core commission to act as a traditional Notary Public?  </w:t>
      </w:r>
    </w:p>
    <w:p w:rsidR="00CA5AD6" w:rsidRPr="00721567" w:rsidRDefault="00CA5AD6" w:rsidP="00651D87">
      <w:pPr>
        <w:widowControl/>
        <w:spacing w:line="360" w:lineRule="auto"/>
        <w:rPr>
          <w:sz w:val="20"/>
        </w:rPr>
      </w:pPr>
      <w:r w:rsidRPr="00721567">
        <w:rPr>
          <w:b/>
          <w:sz w:val="20"/>
        </w:rPr>
        <w:t xml:space="preserve">Question I.6: </w:t>
      </w:r>
      <w:r w:rsidRPr="00721567">
        <w:rPr>
          <w:sz w:val="20"/>
        </w:rPr>
        <w:t xml:space="preserve"> Should the rules clarify this requirement in any other regard?  If yes, explain.</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A traditional Notary Public whose commission expires does not have to deliver the Notary’s notarial records to the Agency if:  (a) the Notary applies and is recommissioned within three (3) months of the expiration date, and (b) the Notary</w:t>
      </w:r>
      <w:r w:rsidR="00E86B13" w:rsidRPr="00721567">
        <w:rPr>
          <w:sz w:val="20"/>
        </w:rPr>
        <w:t>’</w:t>
      </w:r>
      <w:r w:rsidRPr="00721567">
        <w:rPr>
          <w:sz w:val="20"/>
        </w:rPr>
        <w:t>s commission was not revoked or denied by the Secretary.</w:t>
      </w:r>
      <w:r w:rsidRPr="00721567">
        <w:rPr>
          <w:rStyle w:val="FootnoteReference"/>
          <w:sz w:val="20"/>
          <w:vertAlign w:val="superscript"/>
        </w:rPr>
        <w:footnoteReference w:id="69"/>
      </w:r>
      <w:r w:rsidRPr="00721567">
        <w:rPr>
          <w:sz w:val="20"/>
        </w:rPr>
        <w:t xml:space="preserve">  </w:t>
      </w:r>
      <w:r w:rsidR="008467EF">
        <w:rPr>
          <w:sz w:val="20"/>
        </w:rPr>
        <w:t>No similar “grace period” appears in RENA.</w:t>
      </w:r>
    </w:p>
    <w:p w:rsidR="00F42DBD" w:rsidRDefault="00F42DBD" w:rsidP="00651D87">
      <w:pPr>
        <w:widowControl/>
        <w:spacing w:line="360" w:lineRule="auto"/>
        <w:rPr>
          <w:b/>
          <w:sz w:val="20"/>
        </w:rPr>
      </w:pPr>
    </w:p>
    <w:p w:rsidR="00CA5AD6" w:rsidRPr="00721567" w:rsidRDefault="00CA5AD6" w:rsidP="00651D87">
      <w:pPr>
        <w:widowControl/>
        <w:spacing w:line="360" w:lineRule="auto"/>
        <w:rPr>
          <w:sz w:val="20"/>
        </w:rPr>
      </w:pPr>
      <w:r w:rsidRPr="00721567">
        <w:rPr>
          <w:b/>
          <w:sz w:val="20"/>
        </w:rPr>
        <w:t>Question I.7</w:t>
      </w:r>
      <w:r w:rsidRPr="00582E18">
        <w:rPr>
          <w:b/>
          <w:sz w:val="20"/>
        </w:rPr>
        <w:t>:</w:t>
      </w:r>
      <w:r w:rsidRPr="00721567">
        <w:rPr>
          <w:sz w:val="20"/>
        </w:rPr>
        <w:t xml:space="preserve">  Should the rules include a similar grace period for RENPs whose commissions expire?  </w:t>
      </w:r>
    </w:p>
    <w:p w:rsidR="00CA5AD6" w:rsidRPr="00721567" w:rsidRDefault="00CA5AD6" w:rsidP="00651D87">
      <w:pPr>
        <w:widowControl/>
        <w:spacing w:line="360" w:lineRule="auto"/>
        <w:ind w:left="720"/>
        <w:rPr>
          <w:sz w:val="20"/>
        </w:rPr>
      </w:pPr>
      <w:r w:rsidRPr="00721567">
        <w:rPr>
          <w:b/>
          <w:sz w:val="20"/>
        </w:rPr>
        <w:t>Question I.7</w:t>
      </w:r>
      <w:r w:rsidR="00582E18">
        <w:rPr>
          <w:b/>
          <w:sz w:val="20"/>
        </w:rPr>
        <w:t>.</w:t>
      </w:r>
      <w:r w:rsidRPr="00721567">
        <w:rPr>
          <w:b/>
          <w:sz w:val="20"/>
        </w:rPr>
        <w:t>a:</w:t>
      </w:r>
      <w:r w:rsidR="00582E18">
        <w:rPr>
          <w:b/>
          <w:sz w:val="20"/>
        </w:rPr>
        <w:t xml:space="preserve">  </w:t>
      </w:r>
      <w:r w:rsidRPr="00721567">
        <w:rPr>
          <w:sz w:val="20"/>
        </w:rPr>
        <w:t xml:space="preserve">Does the Secretary have the authority to establish such a grace period?  Please explain your answer. </w:t>
      </w:r>
    </w:p>
    <w:p w:rsidR="00CA5AD6" w:rsidRPr="00721567" w:rsidRDefault="00CA5AD6" w:rsidP="00651D87">
      <w:pPr>
        <w:widowControl/>
        <w:spacing w:line="360" w:lineRule="auto"/>
        <w:ind w:left="720"/>
        <w:rPr>
          <w:sz w:val="20"/>
        </w:rPr>
      </w:pPr>
      <w:r w:rsidRPr="00721567">
        <w:rPr>
          <w:b/>
          <w:sz w:val="20"/>
        </w:rPr>
        <w:t>Question I.7</w:t>
      </w:r>
      <w:r w:rsidR="00582E18">
        <w:rPr>
          <w:b/>
          <w:sz w:val="20"/>
        </w:rPr>
        <w:t>.</w:t>
      </w:r>
      <w:r w:rsidRPr="00721567">
        <w:rPr>
          <w:b/>
          <w:sz w:val="20"/>
        </w:rPr>
        <w:t>b:</w:t>
      </w:r>
      <w:r w:rsidR="00582E18">
        <w:rPr>
          <w:b/>
          <w:sz w:val="20"/>
        </w:rPr>
        <w:t xml:space="preserve">  </w:t>
      </w:r>
      <w:r w:rsidRPr="00721567">
        <w:rPr>
          <w:sz w:val="20"/>
        </w:rPr>
        <w:t>If the Secretary has authority to establish a grace period, should it be for the same amount of time as for a traditional Notary Public?  If not, what should the grace period be?</w:t>
      </w:r>
    </w:p>
    <w:p w:rsidR="00CA5AD6" w:rsidRPr="00721567" w:rsidRDefault="00CA5AD6" w:rsidP="00651D87">
      <w:pPr>
        <w:widowControl/>
        <w:spacing w:line="360" w:lineRule="auto"/>
        <w:rPr>
          <w:sz w:val="20"/>
        </w:rPr>
      </w:pPr>
      <w:r w:rsidRPr="00721567">
        <w:rPr>
          <w:b/>
          <w:sz w:val="20"/>
        </w:rPr>
        <w:t xml:space="preserve">Question I.8:  </w:t>
      </w:r>
      <w:r w:rsidRPr="00721567">
        <w:rPr>
          <w:sz w:val="20"/>
        </w:rPr>
        <w:t xml:space="preserve">What does “adjudication of incompetency” mean?  </w:t>
      </w:r>
    </w:p>
    <w:p w:rsidR="00CA5AD6" w:rsidRPr="00721567" w:rsidRDefault="00CA5AD6" w:rsidP="00651D87">
      <w:pPr>
        <w:widowControl/>
        <w:spacing w:line="360" w:lineRule="auto"/>
        <w:ind w:left="720"/>
        <w:rPr>
          <w:sz w:val="20"/>
        </w:rPr>
      </w:pPr>
      <w:r w:rsidRPr="00721567">
        <w:rPr>
          <w:b/>
          <w:sz w:val="20"/>
        </w:rPr>
        <w:t>Question I.8</w:t>
      </w:r>
      <w:r w:rsidR="00582E18">
        <w:rPr>
          <w:b/>
          <w:sz w:val="20"/>
        </w:rPr>
        <w:t>.</w:t>
      </w:r>
      <w:r w:rsidRPr="00721567">
        <w:rPr>
          <w:b/>
          <w:sz w:val="20"/>
        </w:rPr>
        <w:t>a:</w:t>
      </w:r>
      <w:r w:rsidR="00582E18">
        <w:rPr>
          <w:b/>
          <w:sz w:val="20"/>
        </w:rPr>
        <w:t xml:space="preserve">  </w:t>
      </w:r>
      <w:r w:rsidRPr="00721567">
        <w:rPr>
          <w:sz w:val="20"/>
        </w:rPr>
        <w:t xml:space="preserve">Does this require a judicial determination, or does the determination by a qualified medical professional or a licensing board meet the standard set out in RENA?  </w:t>
      </w:r>
    </w:p>
    <w:p w:rsidR="00CA5AD6" w:rsidRPr="00721567" w:rsidRDefault="00CA5AD6" w:rsidP="00651D87">
      <w:pPr>
        <w:widowControl/>
        <w:spacing w:line="360" w:lineRule="auto"/>
        <w:ind w:left="720"/>
        <w:rPr>
          <w:sz w:val="20"/>
        </w:rPr>
      </w:pPr>
      <w:r w:rsidRPr="00721567">
        <w:rPr>
          <w:b/>
          <w:sz w:val="20"/>
        </w:rPr>
        <w:t>Question I.8</w:t>
      </w:r>
      <w:r w:rsidR="00582E18">
        <w:rPr>
          <w:b/>
          <w:sz w:val="20"/>
        </w:rPr>
        <w:t>.</w:t>
      </w:r>
      <w:r w:rsidRPr="00721567">
        <w:rPr>
          <w:b/>
          <w:sz w:val="20"/>
        </w:rPr>
        <w:t>b:</w:t>
      </w:r>
      <w:r w:rsidR="00582E18">
        <w:rPr>
          <w:b/>
          <w:sz w:val="20"/>
        </w:rPr>
        <w:t xml:space="preserve">  </w:t>
      </w:r>
      <w:r w:rsidRPr="00721567">
        <w:rPr>
          <w:sz w:val="20"/>
        </w:rPr>
        <w:t xml:space="preserve">Are there different types of incompetency? </w:t>
      </w:r>
    </w:p>
    <w:p w:rsidR="00CA5AD6" w:rsidRPr="00721567" w:rsidRDefault="00CA5AD6" w:rsidP="00651D87">
      <w:pPr>
        <w:widowControl/>
        <w:spacing w:line="360" w:lineRule="auto"/>
        <w:ind w:left="720"/>
        <w:rPr>
          <w:sz w:val="20"/>
        </w:rPr>
      </w:pPr>
      <w:r w:rsidRPr="00721567">
        <w:rPr>
          <w:b/>
          <w:sz w:val="20"/>
        </w:rPr>
        <w:t>Question I.8</w:t>
      </w:r>
      <w:r w:rsidR="00582E18">
        <w:rPr>
          <w:b/>
          <w:sz w:val="20"/>
        </w:rPr>
        <w:t>.</w:t>
      </w:r>
      <w:r w:rsidRPr="00721567">
        <w:rPr>
          <w:b/>
          <w:sz w:val="20"/>
        </w:rPr>
        <w:t>c:</w:t>
      </w:r>
      <w:r w:rsidR="00582E18">
        <w:rPr>
          <w:b/>
          <w:sz w:val="20"/>
        </w:rPr>
        <w:t xml:space="preserve">  </w:t>
      </w:r>
      <w:r w:rsidRPr="00721567">
        <w:rPr>
          <w:sz w:val="20"/>
        </w:rPr>
        <w:t>If yes, should the rules apply to all of the types or only certain ones?  Please explain.</w:t>
      </w:r>
    </w:p>
    <w:p w:rsidR="00CA5AD6" w:rsidRPr="00721567" w:rsidRDefault="00CA5AD6" w:rsidP="00651D87">
      <w:pPr>
        <w:widowControl/>
        <w:spacing w:line="360" w:lineRule="auto"/>
        <w:ind w:left="540"/>
        <w:rPr>
          <w:sz w:val="20"/>
        </w:rPr>
      </w:pPr>
    </w:p>
    <w:p w:rsidR="00CA5AD6" w:rsidRPr="00721567" w:rsidRDefault="00CA5AD6" w:rsidP="00651D87">
      <w:pPr>
        <w:widowControl/>
        <w:spacing w:line="360" w:lineRule="auto"/>
        <w:rPr>
          <w:sz w:val="20"/>
        </w:rPr>
      </w:pPr>
      <w:r w:rsidRPr="00721567">
        <w:rPr>
          <w:sz w:val="20"/>
        </w:rPr>
        <w:t>Incompetency may be transitory.  RENA does not expressly provide for an RENP who has been adjudicated incompetent to be later determined to be competent.</w:t>
      </w:r>
    </w:p>
    <w:p w:rsidR="00F42DBD" w:rsidRDefault="00F42DBD" w:rsidP="00651D87">
      <w:pPr>
        <w:widowControl/>
        <w:spacing w:line="360" w:lineRule="auto"/>
        <w:rPr>
          <w:b/>
          <w:sz w:val="20"/>
        </w:rPr>
      </w:pPr>
    </w:p>
    <w:p w:rsidR="00CA5AD6" w:rsidRPr="00721567" w:rsidRDefault="00CA5AD6" w:rsidP="00651D87">
      <w:pPr>
        <w:widowControl/>
        <w:spacing w:line="360" w:lineRule="auto"/>
        <w:rPr>
          <w:sz w:val="20"/>
        </w:rPr>
      </w:pPr>
      <w:r w:rsidRPr="00721567">
        <w:rPr>
          <w:b/>
          <w:sz w:val="20"/>
        </w:rPr>
        <w:t>Question I.9:</w:t>
      </w:r>
      <w:r w:rsidRPr="00721567">
        <w:rPr>
          <w:sz w:val="20"/>
        </w:rPr>
        <w:t xml:space="preserve">  For how long must an RENP be incompetent before surrender becomes mandatory?  </w:t>
      </w:r>
    </w:p>
    <w:p w:rsidR="00CA5AD6" w:rsidRPr="00721567" w:rsidRDefault="00CA5AD6" w:rsidP="00651D87">
      <w:pPr>
        <w:widowControl/>
        <w:spacing w:line="360" w:lineRule="auto"/>
        <w:ind w:left="720"/>
        <w:rPr>
          <w:sz w:val="20"/>
        </w:rPr>
      </w:pPr>
      <w:r w:rsidRPr="00721567">
        <w:rPr>
          <w:b/>
          <w:sz w:val="20"/>
        </w:rPr>
        <w:t>Question I.9</w:t>
      </w:r>
      <w:r w:rsidR="00582E18">
        <w:rPr>
          <w:b/>
          <w:sz w:val="20"/>
        </w:rPr>
        <w:t>.</w:t>
      </w:r>
      <w:r w:rsidRPr="00721567">
        <w:rPr>
          <w:b/>
          <w:sz w:val="20"/>
        </w:rPr>
        <w:t>a:</w:t>
      </w:r>
      <w:r w:rsidR="00582E18">
        <w:rPr>
          <w:b/>
          <w:sz w:val="20"/>
        </w:rPr>
        <w:t xml:space="preserve">  </w:t>
      </w:r>
      <w:r w:rsidRPr="00721567">
        <w:rPr>
          <w:sz w:val="20"/>
        </w:rPr>
        <w:t xml:space="preserve">If an RENP is adjudicated incompetent, how should any subsequent return to competency be established for purposes of RENA?  </w:t>
      </w:r>
    </w:p>
    <w:p w:rsidR="00CA5AD6" w:rsidRPr="00721567" w:rsidRDefault="00CA5AD6" w:rsidP="00651D87">
      <w:pPr>
        <w:widowControl/>
        <w:spacing w:line="360" w:lineRule="auto"/>
        <w:ind w:left="720"/>
        <w:rPr>
          <w:sz w:val="20"/>
        </w:rPr>
      </w:pPr>
      <w:r w:rsidRPr="00721567">
        <w:rPr>
          <w:b/>
          <w:sz w:val="20"/>
        </w:rPr>
        <w:t>Question I.9</w:t>
      </w:r>
      <w:r w:rsidR="00582E18">
        <w:rPr>
          <w:b/>
          <w:sz w:val="20"/>
        </w:rPr>
        <w:t>.</w:t>
      </w:r>
      <w:r w:rsidRPr="00721567">
        <w:rPr>
          <w:b/>
          <w:sz w:val="20"/>
        </w:rPr>
        <w:t>b</w:t>
      </w:r>
      <w:r w:rsidR="00080708" w:rsidRPr="00582E18">
        <w:rPr>
          <w:b/>
          <w:sz w:val="20"/>
        </w:rPr>
        <w:t>:</w:t>
      </w:r>
      <w:r w:rsidR="00582E18">
        <w:rPr>
          <w:b/>
          <w:sz w:val="20"/>
        </w:rPr>
        <w:t xml:space="preserve">  </w:t>
      </w:r>
      <w:r w:rsidRPr="00721567">
        <w:rPr>
          <w:sz w:val="20"/>
        </w:rPr>
        <w:t>Should the rules permit the now-competent RENP to regain custody of the electronic journal and CT Recordings?</w:t>
      </w:r>
    </w:p>
    <w:p w:rsidR="00CA5AD6" w:rsidRPr="00721567" w:rsidRDefault="00CA5AD6" w:rsidP="00651D87">
      <w:pPr>
        <w:widowControl/>
        <w:spacing w:line="360" w:lineRule="auto"/>
        <w:ind w:left="720"/>
        <w:rPr>
          <w:sz w:val="20"/>
        </w:rPr>
      </w:pPr>
      <w:r w:rsidRPr="00721567">
        <w:rPr>
          <w:b/>
          <w:sz w:val="20"/>
        </w:rPr>
        <w:t>Question I.</w:t>
      </w:r>
      <w:r w:rsidR="00582E18">
        <w:rPr>
          <w:b/>
          <w:sz w:val="20"/>
        </w:rPr>
        <w:t>9.</w:t>
      </w:r>
      <w:r w:rsidRPr="00721567">
        <w:rPr>
          <w:b/>
          <w:sz w:val="20"/>
        </w:rPr>
        <w:t>c:</w:t>
      </w:r>
      <w:r w:rsidR="00582E18">
        <w:rPr>
          <w:b/>
          <w:sz w:val="20"/>
        </w:rPr>
        <w:t xml:space="preserve">  </w:t>
      </w:r>
      <w:r w:rsidRPr="00721567">
        <w:rPr>
          <w:sz w:val="20"/>
        </w:rPr>
        <w:t>If yes, what criteria and forms of proof should the rules require?</w:t>
      </w:r>
    </w:p>
    <w:p w:rsidR="00CA5AD6" w:rsidRPr="00721567" w:rsidRDefault="00CA5AD6" w:rsidP="00651D87">
      <w:pPr>
        <w:widowControl/>
        <w:spacing w:line="360" w:lineRule="auto"/>
        <w:rPr>
          <w:sz w:val="20"/>
        </w:rPr>
      </w:pPr>
      <w:r w:rsidRPr="00721567">
        <w:rPr>
          <w:b/>
          <w:sz w:val="20"/>
        </w:rPr>
        <w:lastRenderedPageBreak/>
        <w:t>Question I.10:</w:t>
      </w:r>
      <w:r w:rsidRPr="00721567">
        <w:rPr>
          <w:sz w:val="20"/>
        </w:rPr>
        <w:t xml:space="preserve">  Is there anything else the rules should cover with regard to adjudications of incompetency?  Please explain.</w:t>
      </w:r>
    </w:p>
    <w:p w:rsidR="00CA5AD6" w:rsidRPr="00721567" w:rsidRDefault="00CA5AD6" w:rsidP="00651D87">
      <w:pPr>
        <w:widowControl/>
        <w:spacing w:line="360" w:lineRule="auto"/>
        <w:rPr>
          <w:sz w:val="20"/>
        </w:rPr>
      </w:pPr>
      <w:r w:rsidRPr="00721567">
        <w:rPr>
          <w:b/>
          <w:sz w:val="20"/>
        </w:rPr>
        <w:t>Question I.11:</w:t>
      </w:r>
      <w:r w:rsidRPr="00721567">
        <w:rPr>
          <w:sz w:val="20"/>
        </w:rPr>
        <w:t xml:space="preserve">  Are there any other circumstances for which the rules should require surrender of the electronic journal and CT</w:t>
      </w:r>
      <w:r w:rsidR="0041117F" w:rsidRPr="00721567">
        <w:rPr>
          <w:sz w:val="20"/>
        </w:rPr>
        <w:t xml:space="preserve"> </w:t>
      </w:r>
      <w:r w:rsidRPr="00721567">
        <w:rPr>
          <w:sz w:val="20"/>
        </w:rPr>
        <w:t>R</w:t>
      </w:r>
      <w:r w:rsidR="0041117F" w:rsidRPr="00721567">
        <w:rPr>
          <w:sz w:val="20"/>
        </w:rPr>
        <w:t>ecording</w:t>
      </w:r>
      <w:r w:rsidRPr="00721567">
        <w:rPr>
          <w:sz w:val="20"/>
        </w:rPr>
        <w:t>?</w:t>
      </w:r>
    </w:p>
    <w:p w:rsidR="00CA5AD6" w:rsidRPr="00721567" w:rsidRDefault="00CA5AD6" w:rsidP="00651D87">
      <w:pPr>
        <w:widowControl/>
        <w:spacing w:line="360" w:lineRule="auto"/>
        <w:rPr>
          <w:sz w:val="20"/>
        </w:rPr>
      </w:pPr>
    </w:p>
    <w:p w:rsidR="00CA5AD6" w:rsidRDefault="00CA5AD6" w:rsidP="00651D87">
      <w:pPr>
        <w:widowControl/>
        <w:spacing w:line="360" w:lineRule="auto"/>
        <w:rPr>
          <w:sz w:val="20"/>
        </w:rPr>
      </w:pPr>
      <w:r w:rsidRPr="00721567">
        <w:rPr>
          <w:sz w:val="20"/>
        </w:rPr>
        <w:t xml:space="preserve">RENA requires the Secretary to establish to whom </w:t>
      </w:r>
      <w:r w:rsidR="003509FD" w:rsidRPr="00721567">
        <w:rPr>
          <w:sz w:val="20"/>
        </w:rPr>
        <w:t xml:space="preserve">the </w:t>
      </w:r>
      <w:r w:rsidRPr="00721567">
        <w:rPr>
          <w:sz w:val="20"/>
        </w:rPr>
        <w:t>RENP must surrender the electronic journal and CT</w:t>
      </w:r>
      <w:r w:rsidR="0041117F" w:rsidRPr="00721567">
        <w:rPr>
          <w:sz w:val="20"/>
        </w:rPr>
        <w:t xml:space="preserve"> </w:t>
      </w:r>
      <w:r w:rsidRPr="00721567">
        <w:rPr>
          <w:sz w:val="20"/>
        </w:rPr>
        <w:t>R</w:t>
      </w:r>
      <w:r w:rsidR="0041117F" w:rsidRPr="00721567">
        <w:rPr>
          <w:sz w:val="20"/>
        </w:rPr>
        <w:t>ecording</w:t>
      </w:r>
      <w:r w:rsidRPr="00721567">
        <w:rPr>
          <w:sz w:val="20"/>
        </w:rPr>
        <w:t xml:space="preserve"> upon one of the triggering events.</w:t>
      </w:r>
      <w:r w:rsidRPr="00721567">
        <w:rPr>
          <w:sz w:val="20"/>
          <w:vertAlign w:val="superscript"/>
        </w:rPr>
        <w:footnoteReference w:id="70"/>
      </w:r>
      <w:r w:rsidRPr="00721567">
        <w:rPr>
          <w:sz w:val="20"/>
          <w:vertAlign w:val="superscript"/>
        </w:rPr>
        <w:t xml:space="preserve"> </w:t>
      </w:r>
      <w:r w:rsidRPr="00721567">
        <w:rPr>
          <w:sz w:val="20"/>
        </w:rPr>
        <w:t xml:space="preserve"> Elsewhere, RENA requires electronic journals and CT Recordings to be securely stored in a repository under the control of the RENP or with a </w:t>
      </w:r>
      <w:r w:rsidR="00182166" w:rsidRPr="00721567">
        <w:rPr>
          <w:sz w:val="20"/>
        </w:rPr>
        <w:t xml:space="preserve">third-party vendor </w:t>
      </w:r>
      <w:r w:rsidRPr="00721567">
        <w:rPr>
          <w:sz w:val="20"/>
        </w:rPr>
        <w:t xml:space="preserve">steward </w:t>
      </w:r>
      <w:r w:rsidR="00182166" w:rsidRPr="00721567">
        <w:rPr>
          <w:sz w:val="20"/>
        </w:rPr>
        <w:t xml:space="preserve">approved by the Secretary and </w:t>
      </w:r>
      <w:r w:rsidRPr="00721567">
        <w:rPr>
          <w:sz w:val="20"/>
        </w:rPr>
        <w:t>duly appointed under RENA.</w:t>
      </w:r>
      <w:r w:rsidRPr="00721567">
        <w:rPr>
          <w:sz w:val="20"/>
          <w:vertAlign w:val="superscript"/>
        </w:rPr>
        <w:footnoteReference w:id="71"/>
      </w:r>
      <w:r w:rsidRPr="00721567">
        <w:rPr>
          <w:sz w:val="20"/>
        </w:rPr>
        <w:t xml:space="preserve">  </w:t>
      </w:r>
    </w:p>
    <w:p w:rsidR="004465B1" w:rsidRPr="00721567" w:rsidRDefault="004465B1" w:rsidP="00651D87">
      <w:pPr>
        <w:widowControl/>
        <w:spacing w:line="360" w:lineRule="auto"/>
        <w:rPr>
          <w:sz w:val="20"/>
        </w:rPr>
      </w:pPr>
    </w:p>
    <w:p w:rsidR="00CA5AD6" w:rsidRPr="00721567" w:rsidRDefault="00CA5AD6" w:rsidP="00651D87">
      <w:pPr>
        <w:widowControl/>
        <w:spacing w:line="360" w:lineRule="auto"/>
        <w:rPr>
          <w:sz w:val="20"/>
        </w:rPr>
      </w:pPr>
      <w:r w:rsidRPr="00721567">
        <w:rPr>
          <w:b/>
          <w:sz w:val="20"/>
        </w:rPr>
        <w:t>Question I.12:</w:t>
      </w:r>
      <w:r w:rsidRPr="00721567">
        <w:rPr>
          <w:sz w:val="20"/>
        </w:rPr>
        <w:t xml:space="preserve">  Where there has been a triggering event that requires surrender and the RENP has already </w:t>
      </w:r>
      <w:r w:rsidR="004A7124" w:rsidRPr="00721567">
        <w:rPr>
          <w:sz w:val="20"/>
        </w:rPr>
        <w:t xml:space="preserve">stored </w:t>
      </w:r>
      <w:r w:rsidRPr="00721567">
        <w:rPr>
          <w:sz w:val="20"/>
        </w:rPr>
        <w:t xml:space="preserve">the electronic journal and CT Recording with a duly appointed steward, should surrender be deemed to have occurred?  </w:t>
      </w:r>
    </w:p>
    <w:p w:rsidR="00CA5AD6" w:rsidRPr="00721567" w:rsidRDefault="00CA5AD6" w:rsidP="00651D87">
      <w:pPr>
        <w:widowControl/>
        <w:spacing w:line="360" w:lineRule="auto"/>
        <w:rPr>
          <w:sz w:val="20"/>
        </w:rPr>
      </w:pPr>
      <w:r w:rsidRPr="00721567">
        <w:rPr>
          <w:b/>
          <w:sz w:val="20"/>
        </w:rPr>
        <w:t>Question I.13:</w:t>
      </w:r>
      <w:r w:rsidRPr="00721567">
        <w:rPr>
          <w:sz w:val="20"/>
        </w:rPr>
        <w:t xml:space="preserve">  How should that transition from “</w:t>
      </w:r>
      <w:r w:rsidR="004A7124" w:rsidRPr="00721567">
        <w:rPr>
          <w:sz w:val="20"/>
        </w:rPr>
        <w:t>storage</w:t>
      </w:r>
      <w:r w:rsidRPr="00721567">
        <w:rPr>
          <w:sz w:val="20"/>
        </w:rPr>
        <w:t>” to “surrender” be documented?</w:t>
      </w:r>
    </w:p>
    <w:p w:rsidR="00D24B02" w:rsidRPr="00721567" w:rsidRDefault="00D24B02" w:rsidP="00651D87">
      <w:pPr>
        <w:widowControl/>
        <w:spacing w:line="360" w:lineRule="auto"/>
        <w:ind w:left="720"/>
        <w:rPr>
          <w:sz w:val="20"/>
        </w:rPr>
      </w:pPr>
      <w:r w:rsidRPr="00721567">
        <w:rPr>
          <w:b/>
          <w:sz w:val="20"/>
        </w:rPr>
        <w:t>Question I.13</w:t>
      </w:r>
      <w:r w:rsidR="00582E18">
        <w:rPr>
          <w:b/>
          <w:sz w:val="20"/>
        </w:rPr>
        <w:t>.</w:t>
      </w:r>
      <w:r w:rsidRPr="00721567">
        <w:rPr>
          <w:b/>
          <w:sz w:val="20"/>
        </w:rPr>
        <w:t>a:</w:t>
      </w:r>
      <w:r w:rsidR="00582E18">
        <w:rPr>
          <w:b/>
          <w:sz w:val="20"/>
        </w:rPr>
        <w:t xml:space="preserve">  </w:t>
      </w:r>
      <w:r w:rsidRPr="00721567">
        <w:rPr>
          <w:sz w:val="20"/>
        </w:rPr>
        <w:t>How should the du</w:t>
      </w:r>
      <w:r w:rsidR="005432E1" w:rsidRPr="00721567">
        <w:rPr>
          <w:sz w:val="20"/>
        </w:rPr>
        <w:t>ly appointed steward</w:t>
      </w:r>
      <w:r w:rsidRPr="00721567">
        <w:rPr>
          <w:sz w:val="20"/>
        </w:rPr>
        <w:t xml:space="preserve"> be documented so that others with appropriate rights may locate the electronic journal and CT Recording at a later date</w:t>
      </w:r>
      <w:r w:rsidR="005432E1" w:rsidRPr="00721567">
        <w:rPr>
          <w:sz w:val="20"/>
        </w:rPr>
        <w:t xml:space="preserve"> in the event the RENP cannot provide the necessary information</w:t>
      </w:r>
      <w:r w:rsidRPr="00721567">
        <w:rPr>
          <w:sz w:val="20"/>
        </w:rPr>
        <w:t>?</w:t>
      </w:r>
    </w:p>
    <w:p w:rsidR="00CA5AD6" w:rsidRPr="00721567" w:rsidRDefault="00CA5AD6" w:rsidP="00651D87">
      <w:pPr>
        <w:widowControl/>
        <w:spacing w:line="360" w:lineRule="auto"/>
        <w:rPr>
          <w:sz w:val="20"/>
        </w:rPr>
      </w:pPr>
      <w:r w:rsidRPr="00721567">
        <w:rPr>
          <w:b/>
          <w:sz w:val="20"/>
        </w:rPr>
        <w:t>Question I.14:</w:t>
      </w:r>
      <w:r w:rsidR="00623201">
        <w:rPr>
          <w:sz w:val="20"/>
        </w:rPr>
        <w:t xml:space="preserve">  I</w:t>
      </w:r>
      <w:r w:rsidRPr="00721567">
        <w:rPr>
          <w:sz w:val="20"/>
        </w:rPr>
        <w:t xml:space="preserve">f a steward has not been appointed before an event requiring surrender, to whom should the electronic journal and CT Recordings </w:t>
      </w:r>
      <w:r w:rsidRPr="00721567" w:rsidDel="00A72262">
        <w:rPr>
          <w:sz w:val="20"/>
        </w:rPr>
        <w:t>be</w:t>
      </w:r>
      <w:r w:rsidRPr="00721567">
        <w:rPr>
          <w:sz w:val="20"/>
        </w:rPr>
        <w:t xml:space="preserve"> surrendered?  </w:t>
      </w:r>
    </w:p>
    <w:p w:rsidR="00CA5AD6" w:rsidRPr="00721567" w:rsidRDefault="00CA5AD6" w:rsidP="00651D87">
      <w:pPr>
        <w:widowControl/>
        <w:spacing w:line="360" w:lineRule="auto"/>
        <w:ind w:left="720"/>
        <w:rPr>
          <w:sz w:val="20"/>
        </w:rPr>
      </w:pPr>
      <w:r w:rsidRPr="00721567">
        <w:rPr>
          <w:b/>
          <w:sz w:val="20"/>
        </w:rPr>
        <w:t>Question I.14</w:t>
      </w:r>
      <w:r w:rsidR="00582E18">
        <w:rPr>
          <w:b/>
          <w:sz w:val="20"/>
        </w:rPr>
        <w:t>.</w:t>
      </w:r>
      <w:r w:rsidRPr="00721567">
        <w:rPr>
          <w:b/>
          <w:sz w:val="20"/>
        </w:rPr>
        <w:t>a</w:t>
      </w:r>
      <w:r w:rsidR="00080708" w:rsidRPr="00582E18">
        <w:rPr>
          <w:b/>
          <w:sz w:val="20"/>
        </w:rPr>
        <w:t>:</w:t>
      </w:r>
      <w:r w:rsidR="00582E18">
        <w:rPr>
          <w:b/>
          <w:sz w:val="20"/>
        </w:rPr>
        <w:t xml:space="preserve">  </w:t>
      </w:r>
      <w:r w:rsidRPr="00721567">
        <w:rPr>
          <w:sz w:val="20"/>
        </w:rPr>
        <w:t xml:space="preserve">Who shall </w:t>
      </w:r>
      <w:r w:rsidR="004A7124" w:rsidRPr="00721567">
        <w:rPr>
          <w:sz w:val="20"/>
        </w:rPr>
        <w:t>decide the recipient of the electronic journal and CT Recording where surrender must occur</w:t>
      </w:r>
      <w:r w:rsidRPr="00721567">
        <w:rPr>
          <w:sz w:val="20"/>
        </w:rPr>
        <w:t>?</w:t>
      </w:r>
    </w:p>
    <w:p w:rsidR="00CA5AD6" w:rsidRPr="00721567" w:rsidRDefault="00CA5AD6" w:rsidP="00651D87">
      <w:pPr>
        <w:widowControl/>
        <w:spacing w:line="360" w:lineRule="auto"/>
        <w:ind w:left="720"/>
        <w:rPr>
          <w:sz w:val="20"/>
        </w:rPr>
      </w:pPr>
      <w:r w:rsidRPr="00721567">
        <w:rPr>
          <w:b/>
          <w:sz w:val="20"/>
        </w:rPr>
        <w:t>Question I.14</w:t>
      </w:r>
      <w:r w:rsidR="00582E18">
        <w:rPr>
          <w:b/>
          <w:sz w:val="20"/>
        </w:rPr>
        <w:t>.</w:t>
      </w:r>
      <w:r w:rsidRPr="00721567">
        <w:rPr>
          <w:b/>
          <w:sz w:val="20"/>
        </w:rPr>
        <w:t>b:</w:t>
      </w:r>
      <w:r w:rsidR="00582E18">
        <w:rPr>
          <w:b/>
          <w:sz w:val="20"/>
        </w:rPr>
        <w:t xml:space="preserve">  </w:t>
      </w:r>
      <w:r w:rsidRPr="00721567">
        <w:rPr>
          <w:sz w:val="20"/>
        </w:rPr>
        <w:t xml:space="preserve">How should </w:t>
      </w:r>
      <w:r w:rsidR="004A7124" w:rsidRPr="00721567">
        <w:rPr>
          <w:sz w:val="20"/>
        </w:rPr>
        <w:t>surrender</w:t>
      </w:r>
      <w:r w:rsidRPr="00721567">
        <w:rPr>
          <w:sz w:val="20"/>
        </w:rPr>
        <w:t xml:space="preserve"> be documented so that the electronic journal and CT Recording may be located if needed at a later date?</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RENA provides that all stewards must be a third-party vendor approved by the Secretary.</w:t>
      </w:r>
      <w:r w:rsidRPr="00721567">
        <w:rPr>
          <w:sz w:val="20"/>
          <w:vertAlign w:val="superscript"/>
        </w:rPr>
        <w:footnoteReference w:id="72"/>
      </w:r>
      <w:r w:rsidRPr="00721567">
        <w:rPr>
          <w:sz w:val="20"/>
        </w:rPr>
        <w:t xml:space="preserve">    </w:t>
      </w:r>
    </w:p>
    <w:p w:rsidR="00CF5EDE" w:rsidRDefault="00CF5EDE" w:rsidP="00651D87">
      <w:pPr>
        <w:widowControl/>
        <w:spacing w:line="360" w:lineRule="auto"/>
        <w:rPr>
          <w:b/>
          <w:sz w:val="20"/>
        </w:rPr>
      </w:pPr>
    </w:p>
    <w:p w:rsidR="00CA5AD6" w:rsidRPr="00721567" w:rsidRDefault="00CA5AD6" w:rsidP="00651D87">
      <w:pPr>
        <w:widowControl/>
        <w:spacing w:line="360" w:lineRule="auto"/>
        <w:rPr>
          <w:sz w:val="20"/>
        </w:rPr>
      </w:pPr>
      <w:r w:rsidRPr="00721567">
        <w:rPr>
          <w:b/>
          <w:sz w:val="20"/>
        </w:rPr>
        <w:t>Question I.15</w:t>
      </w:r>
      <w:r w:rsidRPr="00623201">
        <w:rPr>
          <w:b/>
          <w:sz w:val="20"/>
        </w:rPr>
        <w:t>:</w:t>
      </w:r>
      <w:r w:rsidRPr="00721567">
        <w:rPr>
          <w:sz w:val="20"/>
        </w:rPr>
        <w:t xml:space="preserve"> </w:t>
      </w:r>
      <w:r w:rsidR="00623201">
        <w:rPr>
          <w:sz w:val="20"/>
        </w:rPr>
        <w:t xml:space="preserve"> </w:t>
      </w:r>
      <w:r w:rsidRPr="00721567">
        <w:rPr>
          <w:sz w:val="20"/>
        </w:rPr>
        <w:t>Is there any circumstance under RENA in which the Secretary may act as a steward of an electronic journal and CT Recording</w:t>
      </w:r>
      <w:r w:rsidR="004C6B1E">
        <w:rPr>
          <w:sz w:val="20"/>
        </w:rPr>
        <w:t>?</w:t>
      </w:r>
      <w:r w:rsidRPr="00721567">
        <w:rPr>
          <w:sz w:val="20"/>
        </w:rPr>
        <w:t xml:space="preserve">  If yes, please provide the legal basis for your response.</w:t>
      </w:r>
    </w:p>
    <w:p w:rsidR="00CA5AD6" w:rsidRPr="00721567" w:rsidRDefault="00CA5AD6" w:rsidP="00651D87">
      <w:pPr>
        <w:widowControl/>
        <w:spacing w:line="360" w:lineRule="auto"/>
        <w:rPr>
          <w:sz w:val="20"/>
        </w:rPr>
      </w:pPr>
      <w:r w:rsidRPr="00721567">
        <w:rPr>
          <w:b/>
          <w:sz w:val="20"/>
        </w:rPr>
        <w:t>Question I.16</w:t>
      </w:r>
      <w:r w:rsidRPr="00623201">
        <w:rPr>
          <w:b/>
          <w:sz w:val="20"/>
        </w:rPr>
        <w:t>:</w:t>
      </w:r>
      <w:r w:rsidRPr="00721567">
        <w:rPr>
          <w:sz w:val="20"/>
        </w:rPr>
        <w:t xml:space="preserve"> </w:t>
      </w:r>
      <w:r w:rsidR="00623201">
        <w:rPr>
          <w:sz w:val="20"/>
        </w:rPr>
        <w:t xml:space="preserve"> </w:t>
      </w:r>
      <w:r w:rsidRPr="00721567">
        <w:rPr>
          <w:sz w:val="20"/>
        </w:rPr>
        <w:t xml:space="preserve">What should be included in the rules about the RENP’s </w:t>
      </w:r>
      <w:r w:rsidR="005432E1" w:rsidRPr="00721567">
        <w:rPr>
          <w:sz w:val="20"/>
        </w:rPr>
        <w:t>duly</w:t>
      </w:r>
      <w:r w:rsidR="00F56D5B" w:rsidRPr="00721567">
        <w:rPr>
          <w:sz w:val="20"/>
        </w:rPr>
        <w:t xml:space="preserve"> appoint</w:t>
      </w:r>
      <w:r w:rsidR="005432E1" w:rsidRPr="00721567">
        <w:rPr>
          <w:sz w:val="20"/>
        </w:rPr>
        <w:t>ed</w:t>
      </w:r>
      <w:r w:rsidRPr="00721567">
        <w:rPr>
          <w:sz w:val="20"/>
        </w:rPr>
        <w:t xml:space="preserve"> steward?  </w:t>
      </w:r>
    </w:p>
    <w:p w:rsidR="00EC0404" w:rsidRPr="00721567" w:rsidRDefault="00EC0404" w:rsidP="00651D87">
      <w:pPr>
        <w:widowControl/>
        <w:spacing w:line="360" w:lineRule="auto"/>
        <w:ind w:left="720"/>
        <w:rPr>
          <w:sz w:val="20"/>
        </w:rPr>
      </w:pPr>
      <w:r w:rsidRPr="00721567">
        <w:rPr>
          <w:b/>
          <w:sz w:val="20"/>
        </w:rPr>
        <w:t>Question I.1</w:t>
      </w:r>
      <w:r w:rsidR="00080708">
        <w:rPr>
          <w:b/>
          <w:sz w:val="20"/>
        </w:rPr>
        <w:t>6</w:t>
      </w:r>
      <w:r w:rsidR="00582E18">
        <w:rPr>
          <w:b/>
          <w:sz w:val="20"/>
        </w:rPr>
        <w:t>.</w:t>
      </w:r>
      <w:r w:rsidRPr="00721567">
        <w:rPr>
          <w:b/>
          <w:sz w:val="20"/>
        </w:rPr>
        <w:t>a:</w:t>
      </w:r>
      <w:r w:rsidR="00582E18">
        <w:rPr>
          <w:b/>
          <w:sz w:val="20"/>
        </w:rPr>
        <w:t xml:space="preserve">  </w:t>
      </w:r>
      <w:r w:rsidRPr="00721567">
        <w:rPr>
          <w:sz w:val="20"/>
        </w:rPr>
        <w:t>What should be the criteria the Secretary should establish in order to approve a third-party vendor as a steward of electronic journals or CT Recordings?</w:t>
      </w:r>
    </w:p>
    <w:p w:rsidR="00CA5AD6" w:rsidRPr="00721567" w:rsidRDefault="00CA5AD6" w:rsidP="00651D87">
      <w:pPr>
        <w:widowControl/>
        <w:spacing w:line="360" w:lineRule="auto"/>
        <w:rPr>
          <w:sz w:val="20"/>
        </w:rPr>
      </w:pPr>
      <w:r w:rsidRPr="00721567">
        <w:rPr>
          <w:b/>
          <w:sz w:val="20"/>
        </w:rPr>
        <w:t>Question I.17:</w:t>
      </w:r>
      <w:r w:rsidR="00080708">
        <w:rPr>
          <w:sz w:val="20"/>
        </w:rPr>
        <w:t xml:space="preserve"> </w:t>
      </w:r>
      <w:r w:rsidR="00623201">
        <w:rPr>
          <w:sz w:val="20"/>
        </w:rPr>
        <w:t xml:space="preserve"> </w:t>
      </w:r>
      <w:r w:rsidRPr="00721567">
        <w:rPr>
          <w:sz w:val="20"/>
        </w:rPr>
        <w:t>What should the rules require with regard to an RENP changing the designation of the steward?</w:t>
      </w:r>
    </w:p>
    <w:p w:rsidR="004465B1" w:rsidRDefault="004465B1" w:rsidP="00651D87">
      <w:pPr>
        <w:widowControl/>
        <w:spacing w:line="360" w:lineRule="auto"/>
        <w:rPr>
          <w:b/>
          <w:sz w:val="20"/>
        </w:rPr>
      </w:pPr>
    </w:p>
    <w:p w:rsidR="004465B1" w:rsidRDefault="004465B1" w:rsidP="00651D87">
      <w:pPr>
        <w:widowControl/>
        <w:spacing w:line="360" w:lineRule="auto"/>
        <w:rPr>
          <w:b/>
          <w:sz w:val="20"/>
        </w:rPr>
      </w:pPr>
    </w:p>
    <w:p w:rsidR="00CA5AD6" w:rsidRPr="00721567" w:rsidRDefault="00CA5AD6" w:rsidP="00651D87">
      <w:pPr>
        <w:widowControl/>
        <w:spacing w:line="360" w:lineRule="auto"/>
        <w:rPr>
          <w:sz w:val="20"/>
        </w:rPr>
      </w:pPr>
      <w:r w:rsidRPr="00721567">
        <w:rPr>
          <w:b/>
          <w:sz w:val="20"/>
        </w:rPr>
        <w:lastRenderedPageBreak/>
        <w:t>Question I.18</w:t>
      </w:r>
      <w:r w:rsidR="00080708" w:rsidRPr="00623201">
        <w:rPr>
          <w:b/>
          <w:sz w:val="20"/>
        </w:rPr>
        <w:t>:</w:t>
      </w:r>
      <w:r w:rsidR="00623201">
        <w:rPr>
          <w:sz w:val="20"/>
        </w:rPr>
        <w:t xml:space="preserve">  </w:t>
      </w:r>
      <w:r w:rsidRPr="00721567">
        <w:rPr>
          <w:sz w:val="20"/>
        </w:rPr>
        <w:t>Should the rules include any limits on the RENP</w:t>
      </w:r>
      <w:r w:rsidR="00E86B13" w:rsidRPr="00721567">
        <w:rPr>
          <w:sz w:val="20"/>
        </w:rPr>
        <w:t>’</w:t>
      </w:r>
      <w:r w:rsidRPr="00721567">
        <w:rPr>
          <w:sz w:val="20"/>
        </w:rPr>
        <w:t>s designation of the steward?  If yes, what would the limits be?  For example:</w:t>
      </w:r>
    </w:p>
    <w:p w:rsidR="00CA5AD6" w:rsidRPr="00721567" w:rsidRDefault="00CA5AD6" w:rsidP="00651D87">
      <w:pPr>
        <w:widowControl/>
        <w:tabs>
          <w:tab w:val="left" w:pos="720"/>
        </w:tabs>
        <w:spacing w:line="360" w:lineRule="auto"/>
        <w:ind w:left="720"/>
        <w:rPr>
          <w:sz w:val="20"/>
        </w:rPr>
      </w:pPr>
      <w:r w:rsidRPr="00721567">
        <w:rPr>
          <w:b/>
          <w:sz w:val="20"/>
        </w:rPr>
        <w:t>Question I.18</w:t>
      </w:r>
      <w:r w:rsidR="00582E18">
        <w:rPr>
          <w:b/>
          <w:sz w:val="20"/>
        </w:rPr>
        <w:t>.</w:t>
      </w:r>
      <w:r w:rsidRPr="00721567">
        <w:rPr>
          <w:b/>
          <w:sz w:val="20"/>
        </w:rPr>
        <w:t>a:</w:t>
      </w:r>
      <w:r w:rsidR="00582E18">
        <w:rPr>
          <w:b/>
          <w:sz w:val="20"/>
        </w:rPr>
        <w:t xml:space="preserve">  </w:t>
      </w:r>
      <w:r w:rsidRPr="00721567">
        <w:rPr>
          <w:sz w:val="20"/>
        </w:rPr>
        <w:t>Should the rules require the steward to be a third party vendor different from the third party vendor providing the communication technology platform to the RENP</w:t>
      </w:r>
      <w:r w:rsidR="00DD28C9" w:rsidRPr="00721567">
        <w:rPr>
          <w:sz w:val="20"/>
        </w:rPr>
        <w:t>?</w:t>
      </w:r>
      <w:r w:rsidRPr="00721567">
        <w:rPr>
          <w:sz w:val="20"/>
        </w:rPr>
        <w:t xml:space="preserve">  Please be specific and explain.</w:t>
      </w:r>
    </w:p>
    <w:p w:rsidR="003509FD" w:rsidRPr="00721567" w:rsidRDefault="003509FD" w:rsidP="00651D87">
      <w:pPr>
        <w:widowControl/>
        <w:spacing w:line="360" w:lineRule="auto"/>
        <w:ind w:left="540"/>
        <w:rPr>
          <w:sz w:val="20"/>
        </w:rPr>
      </w:pPr>
    </w:p>
    <w:p w:rsidR="00CA5AD6" w:rsidRPr="00332993" w:rsidRDefault="00CA5AD6" w:rsidP="00651D87">
      <w:pPr>
        <w:pStyle w:val="Heading1"/>
        <w:widowControl/>
        <w:spacing w:line="360" w:lineRule="auto"/>
        <w:ind w:left="0"/>
        <w:jc w:val="left"/>
        <w:rPr>
          <w:b/>
          <w:caps/>
          <w:sz w:val="20"/>
        </w:rPr>
      </w:pPr>
      <w:bookmarkStart w:id="10" w:name="_Toc117090623"/>
      <w:r w:rsidRPr="00721567">
        <w:rPr>
          <w:b/>
          <w:sz w:val="20"/>
        </w:rPr>
        <w:t xml:space="preserve">J.  </w:t>
      </w:r>
      <w:r w:rsidR="00080708">
        <w:rPr>
          <w:b/>
          <w:sz w:val="20"/>
        </w:rPr>
        <w:tab/>
      </w:r>
      <w:r w:rsidRPr="00332993">
        <w:rPr>
          <w:b/>
          <w:caps/>
          <w:sz w:val="20"/>
        </w:rPr>
        <w:t>Reporting to the Agency</w:t>
      </w:r>
      <w:bookmarkEnd w:id="10"/>
      <w:r w:rsidRPr="00332993">
        <w:rPr>
          <w:b/>
          <w:caps/>
          <w:sz w:val="20"/>
        </w:rPr>
        <w:t xml:space="preserve">  </w:t>
      </w:r>
    </w:p>
    <w:p w:rsidR="00CA5AD6" w:rsidRPr="00721567" w:rsidRDefault="00CA5AD6" w:rsidP="00651D87">
      <w:pPr>
        <w:widowControl/>
        <w:spacing w:line="360" w:lineRule="auto"/>
        <w:rPr>
          <w:sz w:val="20"/>
        </w:rPr>
      </w:pPr>
      <w:r w:rsidRPr="00721567">
        <w:rPr>
          <w:sz w:val="20"/>
        </w:rPr>
        <w:t>Documentation of the communication, credential analysis, and identity platforms selected and used by each RENP will be essential.  For example, the Agency may need to communicate with RENPs affected by a material change in status or performance by a particular third party vendor.  The Agency believes similar documentation is necessary for noti</w:t>
      </w:r>
      <w:r w:rsidR="00F20350">
        <w:rPr>
          <w:sz w:val="20"/>
        </w:rPr>
        <w:t>fying</w:t>
      </w:r>
      <w:r w:rsidRPr="00721567">
        <w:rPr>
          <w:sz w:val="20"/>
        </w:rPr>
        <w:t xml:space="preserve"> the RENPs’ duly appointed stewards.  </w:t>
      </w:r>
    </w:p>
    <w:p w:rsidR="00CF5EDE" w:rsidRDefault="00CF5EDE" w:rsidP="00651D87">
      <w:pPr>
        <w:widowControl/>
        <w:spacing w:line="360" w:lineRule="auto"/>
        <w:rPr>
          <w:b/>
          <w:sz w:val="20"/>
        </w:rPr>
      </w:pPr>
    </w:p>
    <w:p w:rsidR="00CA5AD6" w:rsidRPr="00721567" w:rsidRDefault="00CA5AD6" w:rsidP="00651D87">
      <w:pPr>
        <w:widowControl/>
        <w:spacing w:line="360" w:lineRule="auto"/>
        <w:rPr>
          <w:sz w:val="20"/>
        </w:rPr>
      </w:pPr>
      <w:r w:rsidRPr="00721567">
        <w:rPr>
          <w:b/>
          <w:sz w:val="20"/>
        </w:rPr>
        <w:t>Question J.1:</w:t>
      </w:r>
      <w:r w:rsidR="00623201">
        <w:rPr>
          <w:b/>
          <w:sz w:val="20"/>
        </w:rPr>
        <w:t xml:space="preserve">  </w:t>
      </w:r>
      <w:r w:rsidRPr="00721567">
        <w:rPr>
          <w:sz w:val="20"/>
        </w:rPr>
        <w:t>The Agency invites comment regarding the reporting expectations described above.</w:t>
      </w:r>
    </w:p>
    <w:p w:rsidR="00CA5AD6" w:rsidRPr="00721567" w:rsidRDefault="00CA5AD6" w:rsidP="00651D87">
      <w:pPr>
        <w:widowControl/>
        <w:spacing w:line="360" w:lineRule="auto"/>
        <w:rPr>
          <w:sz w:val="20"/>
        </w:rPr>
      </w:pPr>
      <w:r w:rsidRPr="00721567">
        <w:rPr>
          <w:b/>
          <w:sz w:val="20"/>
        </w:rPr>
        <w:t>Question J.2</w:t>
      </w:r>
      <w:r w:rsidRPr="00623201">
        <w:rPr>
          <w:b/>
          <w:sz w:val="20"/>
        </w:rPr>
        <w:t>:</w:t>
      </w:r>
      <w:r w:rsidR="00623201">
        <w:rPr>
          <w:b/>
          <w:sz w:val="20"/>
        </w:rPr>
        <w:t xml:space="preserve">  </w:t>
      </w:r>
      <w:r w:rsidRPr="00721567">
        <w:rPr>
          <w:sz w:val="20"/>
        </w:rPr>
        <w:t>Should such reporting be the obligation of the RENP, third party vendor</w:t>
      </w:r>
      <w:r w:rsidR="00DD28C9" w:rsidRPr="00721567">
        <w:rPr>
          <w:sz w:val="20"/>
        </w:rPr>
        <w:t>s</w:t>
      </w:r>
      <w:r w:rsidRPr="00721567">
        <w:rPr>
          <w:sz w:val="20"/>
        </w:rPr>
        <w:t>, or both?</w:t>
      </w:r>
    </w:p>
    <w:p w:rsidR="00CA5AD6" w:rsidRPr="00721567" w:rsidRDefault="00CA5AD6" w:rsidP="00651D87">
      <w:pPr>
        <w:widowControl/>
        <w:spacing w:line="360" w:lineRule="auto"/>
        <w:rPr>
          <w:sz w:val="20"/>
        </w:rPr>
      </w:pPr>
      <w:r w:rsidRPr="00721567">
        <w:rPr>
          <w:b/>
          <w:sz w:val="20"/>
        </w:rPr>
        <w:t>Question J.3:</w:t>
      </w:r>
      <w:r w:rsidR="00623201">
        <w:rPr>
          <w:b/>
          <w:sz w:val="20"/>
        </w:rPr>
        <w:t xml:space="preserve">  </w:t>
      </w:r>
      <w:r w:rsidRPr="00721567">
        <w:rPr>
          <w:sz w:val="20"/>
        </w:rPr>
        <w:t>What types of information should be collected?  Be specific.</w:t>
      </w:r>
    </w:p>
    <w:p w:rsidR="00CA5AD6" w:rsidRPr="00721567" w:rsidRDefault="00CA5AD6" w:rsidP="00651D87">
      <w:pPr>
        <w:widowControl/>
        <w:spacing w:line="360" w:lineRule="auto"/>
        <w:ind w:left="720"/>
        <w:rPr>
          <w:sz w:val="20"/>
        </w:rPr>
      </w:pPr>
      <w:r w:rsidRPr="00721567">
        <w:rPr>
          <w:b/>
          <w:sz w:val="20"/>
        </w:rPr>
        <w:t>Question J.3</w:t>
      </w:r>
      <w:r w:rsidR="00582E18">
        <w:rPr>
          <w:b/>
          <w:sz w:val="20"/>
        </w:rPr>
        <w:t>.</w:t>
      </w:r>
      <w:r w:rsidRPr="00721567">
        <w:rPr>
          <w:b/>
          <w:sz w:val="20"/>
        </w:rPr>
        <w:t>a:</w:t>
      </w:r>
      <w:r w:rsidR="00423C34">
        <w:rPr>
          <w:b/>
          <w:sz w:val="20"/>
        </w:rPr>
        <w:t xml:space="preserve">  </w:t>
      </w:r>
      <w:r w:rsidRPr="00721567">
        <w:rPr>
          <w:sz w:val="20"/>
        </w:rPr>
        <w:t>How will each type of information benefit the RENPs, the vendors, the public, and the Agency?</w:t>
      </w:r>
    </w:p>
    <w:p w:rsidR="00CA5AD6" w:rsidRPr="00721567" w:rsidRDefault="00CA5AD6" w:rsidP="00651D87">
      <w:pPr>
        <w:widowControl/>
        <w:spacing w:line="360" w:lineRule="auto"/>
        <w:ind w:left="720"/>
        <w:rPr>
          <w:sz w:val="20"/>
        </w:rPr>
      </w:pPr>
      <w:r w:rsidRPr="00721567">
        <w:rPr>
          <w:b/>
          <w:sz w:val="20"/>
        </w:rPr>
        <w:t>Question J.3</w:t>
      </w:r>
      <w:r w:rsidR="00582E18">
        <w:rPr>
          <w:b/>
          <w:sz w:val="20"/>
        </w:rPr>
        <w:t>.</w:t>
      </w:r>
      <w:r w:rsidRPr="00721567">
        <w:rPr>
          <w:b/>
          <w:sz w:val="20"/>
        </w:rPr>
        <w:t>b:</w:t>
      </w:r>
      <w:r w:rsidR="00423C34">
        <w:rPr>
          <w:b/>
          <w:sz w:val="20"/>
        </w:rPr>
        <w:t xml:space="preserve">  </w:t>
      </w:r>
      <w:r w:rsidRPr="00721567">
        <w:rPr>
          <w:sz w:val="20"/>
        </w:rPr>
        <w:t xml:space="preserve">For each type of information that should be collected, how often should the rules require its collection?  </w:t>
      </w:r>
    </w:p>
    <w:p w:rsidR="00CA5AD6" w:rsidRPr="00721567" w:rsidRDefault="00CA5AD6" w:rsidP="00651D87">
      <w:pPr>
        <w:widowControl/>
        <w:spacing w:line="360" w:lineRule="auto"/>
        <w:ind w:left="720"/>
        <w:rPr>
          <w:sz w:val="20"/>
        </w:rPr>
      </w:pPr>
      <w:r w:rsidRPr="00721567">
        <w:rPr>
          <w:b/>
          <w:sz w:val="20"/>
        </w:rPr>
        <w:t>Question J 3</w:t>
      </w:r>
      <w:r w:rsidR="00582E18">
        <w:rPr>
          <w:b/>
          <w:sz w:val="20"/>
        </w:rPr>
        <w:t>.</w:t>
      </w:r>
      <w:r w:rsidRPr="00721567">
        <w:rPr>
          <w:b/>
          <w:sz w:val="20"/>
        </w:rPr>
        <w:t>c:</w:t>
      </w:r>
      <w:r w:rsidR="00423C34">
        <w:rPr>
          <w:b/>
          <w:sz w:val="20"/>
        </w:rPr>
        <w:t xml:space="preserve">  </w:t>
      </w:r>
      <w:r w:rsidRPr="00721567">
        <w:rPr>
          <w:sz w:val="20"/>
        </w:rPr>
        <w:t>Is there information that the rules should require be reported only at longer intervals?  For example, in an annual report or annual approval/license renewal?</w:t>
      </w:r>
    </w:p>
    <w:p w:rsidR="003509FD" w:rsidRPr="00721567" w:rsidRDefault="003509FD" w:rsidP="00651D87">
      <w:pPr>
        <w:widowControl/>
        <w:spacing w:line="360" w:lineRule="auto"/>
        <w:rPr>
          <w:sz w:val="20"/>
        </w:rPr>
      </w:pPr>
    </w:p>
    <w:p w:rsidR="00CA5AD6" w:rsidRPr="00721567" w:rsidRDefault="00CA5AD6" w:rsidP="00651D87">
      <w:pPr>
        <w:pStyle w:val="Heading1"/>
        <w:widowControl/>
        <w:spacing w:line="360" w:lineRule="auto"/>
        <w:ind w:left="0"/>
        <w:jc w:val="left"/>
        <w:rPr>
          <w:b/>
          <w:sz w:val="20"/>
        </w:rPr>
      </w:pPr>
      <w:bookmarkStart w:id="11" w:name="_Toc117090624"/>
      <w:r w:rsidRPr="00721567">
        <w:rPr>
          <w:b/>
          <w:sz w:val="20"/>
        </w:rPr>
        <w:t xml:space="preserve">K.  </w:t>
      </w:r>
      <w:r w:rsidR="00080708">
        <w:rPr>
          <w:b/>
          <w:sz w:val="20"/>
        </w:rPr>
        <w:tab/>
      </w:r>
      <w:r w:rsidR="00DD28C9" w:rsidRPr="00332993">
        <w:rPr>
          <w:b/>
          <w:caps/>
          <w:sz w:val="20"/>
        </w:rPr>
        <w:t xml:space="preserve">Oaths and Affirmations in </w:t>
      </w:r>
      <w:r w:rsidRPr="00332993">
        <w:rPr>
          <w:b/>
          <w:caps/>
          <w:sz w:val="20"/>
        </w:rPr>
        <w:t>Judicial actions and proceedings</w:t>
      </w:r>
      <w:bookmarkEnd w:id="11"/>
      <w:r w:rsidRPr="00721567">
        <w:rPr>
          <w:b/>
          <w:sz w:val="20"/>
        </w:rPr>
        <w:t xml:space="preserve">  </w:t>
      </w:r>
    </w:p>
    <w:p w:rsidR="00CA5AD6" w:rsidRPr="00721567" w:rsidRDefault="00CA5AD6" w:rsidP="00651D87">
      <w:pPr>
        <w:widowControl/>
        <w:spacing w:line="360" w:lineRule="auto"/>
        <w:rPr>
          <w:sz w:val="20"/>
        </w:rPr>
      </w:pPr>
      <w:r w:rsidRPr="00721567">
        <w:rPr>
          <w:sz w:val="20"/>
        </w:rPr>
        <w:t xml:space="preserve">RENA allows any notary (not solely RENPs) to remotely administer oaths and affirmations </w:t>
      </w:r>
      <w:r w:rsidR="00760CEF" w:rsidRPr="00721567">
        <w:rPr>
          <w:sz w:val="20"/>
        </w:rPr>
        <w:t xml:space="preserve">to “witnesses” </w:t>
      </w:r>
      <w:r w:rsidRPr="00721567">
        <w:rPr>
          <w:sz w:val="20"/>
        </w:rPr>
        <w:t xml:space="preserve">in “judicial actions or proceedings” if:  </w:t>
      </w:r>
    </w:p>
    <w:p w:rsidR="00CA5AD6" w:rsidRPr="00721567" w:rsidRDefault="00CA5AD6" w:rsidP="00B86B38">
      <w:pPr>
        <w:pStyle w:val="ListParagraph"/>
        <w:numPr>
          <w:ilvl w:val="0"/>
          <w:numId w:val="25"/>
        </w:numPr>
        <w:tabs>
          <w:tab w:val="left" w:pos="990"/>
        </w:tabs>
        <w:spacing w:line="360" w:lineRule="auto"/>
        <w:ind w:firstLine="0"/>
        <w:rPr>
          <w:rFonts w:cs="Times New Roman"/>
          <w:color w:val="auto"/>
          <w:sz w:val="20"/>
          <w:szCs w:val="20"/>
        </w:rPr>
      </w:pPr>
      <w:r w:rsidRPr="00721567">
        <w:rPr>
          <w:rFonts w:cs="Times New Roman"/>
          <w:color w:val="auto"/>
          <w:sz w:val="20"/>
          <w:szCs w:val="20"/>
        </w:rPr>
        <w:t xml:space="preserve">There will not be a remote document notarization, </w:t>
      </w:r>
    </w:p>
    <w:p w:rsidR="00CA5AD6" w:rsidRPr="00721567" w:rsidRDefault="00CA5AD6" w:rsidP="00B86B38">
      <w:pPr>
        <w:pStyle w:val="ListParagraph"/>
        <w:numPr>
          <w:ilvl w:val="0"/>
          <w:numId w:val="25"/>
        </w:numPr>
        <w:tabs>
          <w:tab w:val="left" w:pos="990"/>
        </w:tabs>
        <w:spacing w:line="360" w:lineRule="auto"/>
        <w:ind w:firstLine="0"/>
        <w:rPr>
          <w:rFonts w:cs="Times New Roman"/>
          <w:color w:val="auto"/>
          <w:sz w:val="20"/>
          <w:szCs w:val="20"/>
        </w:rPr>
      </w:pPr>
      <w:r w:rsidRPr="00721567">
        <w:rPr>
          <w:rFonts w:cs="Times New Roman"/>
          <w:color w:val="auto"/>
          <w:sz w:val="20"/>
          <w:szCs w:val="20"/>
        </w:rPr>
        <w:t>If neither a notarial certificate nor seal is required, and</w:t>
      </w:r>
    </w:p>
    <w:p w:rsidR="00CA5AD6" w:rsidRPr="00721567" w:rsidRDefault="00CA5AD6" w:rsidP="00B86B38">
      <w:pPr>
        <w:pStyle w:val="ListParagraph"/>
        <w:numPr>
          <w:ilvl w:val="0"/>
          <w:numId w:val="25"/>
        </w:numPr>
        <w:tabs>
          <w:tab w:val="left" w:pos="990"/>
        </w:tabs>
        <w:spacing w:line="360" w:lineRule="auto"/>
        <w:ind w:firstLine="0"/>
        <w:rPr>
          <w:rFonts w:cs="Times New Roman"/>
          <w:color w:val="auto"/>
          <w:sz w:val="20"/>
          <w:szCs w:val="20"/>
        </w:rPr>
      </w:pPr>
      <w:r w:rsidRPr="00721567">
        <w:rPr>
          <w:rFonts w:cs="Times New Roman"/>
          <w:color w:val="auto"/>
          <w:sz w:val="20"/>
          <w:szCs w:val="20"/>
        </w:rPr>
        <w:t>All requirements of RENA relating to the identity proofing of the witness are satisfied.</w:t>
      </w:r>
      <w:r w:rsidR="005E0B57" w:rsidRPr="00721567">
        <w:rPr>
          <w:rStyle w:val="FootnoteReference"/>
          <w:rFonts w:cs="Times New Roman"/>
          <w:color w:val="auto"/>
          <w:sz w:val="20"/>
          <w:szCs w:val="20"/>
          <w:vertAlign w:val="superscript"/>
        </w:rPr>
        <w:footnoteReference w:id="73"/>
      </w:r>
      <w:r w:rsidRPr="00721567">
        <w:rPr>
          <w:rFonts w:cs="Times New Roman"/>
          <w:color w:val="auto"/>
          <w:sz w:val="20"/>
          <w:szCs w:val="20"/>
          <w:vertAlign w:val="superscript"/>
        </w:rPr>
        <w:t xml:space="preserve"> </w:t>
      </w:r>
      <w:r w:rsidRPr="00721567">
        <w:rPr>
          <w:rFonts w:cs="Times New Roman"/>
          <w:color w:val="auto"/>
          <w:sz w:val="20"/>
          <w:szCs w:val="20"/>
        </w:rPr>
        <w:t xml:space="preserve"> </w:t>
      </w:r>
    </w:p>
    <w:p w:rsidR="00CA5AD6" w:rsidRPr="00721567" w:rsidRDefault="00CA5AD6" w:rsidP="00651D87">
      <w:pPr>
        <w:pStyle w:val="ListParagraph"/>
        <w:spacing w:line="360" w:lineRule="auto"/>
        <w:rPr>
          <w:rFonts w:cs="Times New Roman"/>
          <w:color w:val="auto"/>
          <w:sz w:val="20"/>
          <w:szCs w:val="20"/>
        </w:rPr>
      </w:pPr>
    </w:p>
    <w:p w:rsidR="00CA5AD6" w:rsidRPr="00721567" w:rsidRDefault="00CA5AD6" w:rsidP="00651D87">
      <w:pPr>
        <w:widowControl/>
        <w:spacing w:line="360" w:lineRule="auto"/>
        <w:rPr>
          <w:sz w:val="20"/>
        </w:rPr>
      </w:pPr>
      <w:r w:rsidRPr="00721567">
        <w:rPr>
          <w:sz w:val="20"/>
        </w:rPr>
        <w:t>The notary is not required to select the communication technology used for the remote oath or affirmation exception.  No CT Recording is required.  Journaling is not mentioned.</w:t>
      </w:r>
      <w:r w:rsidRPr="00721567">
        <w:rPr>
          <w:sz w:val="20"/>
          <w:vertAlign w:val="superscript"/>
        </w:rPr>
        <w:footnoteReference w:id="74"/>
      </w:r>
      <w:r w:rsidRPr="00721567">
        <w:rPr>
          <w:sz w:val="20"/>
        </w:rPr>
        <w:t xml:space="preserve">  Notaries will need to be able to quickly determine whether the action or proceeding is one for which they can administer a virtual oath or affirmation.  Vendors will need to know the definition in order to develop the software.  </w:t>
      </w:r>
    </w:p>
    <w:p w:rsidR="00F42DBD" w:rsidRDefault="00F42DBD"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lastRenderedPageBreak/>
        <w:t xml:space="preserve">There is no definition in RENA of either “judicial actions” or “proceedings”.  There is not a comma after “judicial actions”.  Consequently, it appears that the General Assembly </w:t>
      </w:r>
      <w:r w:rsidR="00CE17A1" w:rsidRPr="00721567">
        <w:rPr>
          <w:sz w:val="20"/>
        </w:rPr>
        <w:t xml:space="preserve">may have </w:t>
      </w:r>
      <w:r w:rsidRPr="00721567">
        <w:rPr>
          <w:sz w:val="20"/>
        </w:rPr>
        <w:t>intended the exception to apply to “judicial proceedings,” though other interpretations are possible.</w:t>
      </w:r>
    </w:p>
    <w:p w:rsidR="00F42DBD" w:rsidRDefault="00F42DBD" w:rsidP="00651D87">
      <w:pPr>
        <w:widowControl/>
        <w:spacing w:line="360" w:lineRule="auto"/>
        <w:rPr>
          <w:b/>
          <w:sz w:val="20"/>
        </w:rPr>
      </w:pPr>
    </w:p>
    <w:p w:rsidR="00CA5AD6" w:rsidRPr="00721567" w:rsidRDefault="00CA5AD6" w:rsidP="00651D87">
      <w:pPr>
        <w:widowControl/>
        <w:spacing w:line="360" w:lineRule="auto"/>
        <w:rPr>
          <w:sz w:val="20"/>
        </w:rPr>
      </w:pPr>
      <w:r w:rsidRPr="00721567">
        <w:rPr>
          <w:b/>
          <w:sz w:val="20"/>
        </w:rPr>
        <w:t>Question K.1</w:t>
      </w:r>
      <w:r w:rsidRPr="00623201">
        <w:rPr>
          <w:b/>
          <w:sz w:val="20"/>
        </w:rPr>
        <w:t>:</w:t>
      </w:r>
      <w:r w:rsidR="00623201">
        <w:rPr>
          <w:sz w:val="20"/>
        </w:rPr>
        <w:t xml:space="preserve">  </w:t>
      </w:r>
      <w:r w:rsidRPr="00721567">
        <w:rPr>
          <w:sz w:val="20"/>
        </w:rPr>
        <w:t>If you disagree with the interpretation that the word “judicial” modifies both “actions” and “proceedings”, please explain and include the basis in law for your explanation.</w:t>
      </w:r>
    </w:p>
    <w:p w:rsidR="004B2BD9" w:rsidRDefault="004B2BD9" w:rsidP="00651D87">
      <w:pPr>
        <w:widowControl/>
        <w:spacing w:line="360" w:lineRule="auto"/>
        <w:rPr>
          <w:b/>
          <w:sz w:val="20"/>
        </w:rPr>
      </w:pPr>
    </w:p>
    <w:p w:rsidR="00CA5AD6" w:rsidRPr="00721567" w:rsidRDefault="00CA5AD6" w:rsidP="00651D87">
      <w:pPr>
        <w:widowControl/>
        <w:spacing w:line="360" w:lineRule="auto"/>
        <w:rPr>
          <w:sz w:val="20"/>
        </w:rPr>
      </w:pPr>
      <w:r w:rsidRPr="00721567">
        <w:rPr>
          <w:b/>
          <w:sz w:val="20"/>
        </w:rPr>
        <w:t>Question K.2:</w:t>
      </w:r>
      <w:r w:rsidR="00623201">
        <w:rPr>
          <w:b/>
          <w:sz w:val="20"/>
        </w:rPr>
        <w:t xml:space="preserve">  </w:t>
      </w:r>
      <w:r w:rsidRPr="00721567">
        <w:rPr>
          <w:sz w:val="20"/>
        </w:rPr>
        <w:t>How should “judicial actions” be interpreted?  For example:</w:t>
      </w:r>
    </w:p>
    <w:p w:rsidR="00CA5AD6" w:rsidRPr="00721567" w:rsidRDefault="00CA5AD6" w:rsidP="00651D87">
      <w:pPr>
        <w:widowControl/>
        <w:spacing w:line="360" w:lineRule="auto"/>
        <w:ind w:left="720"/>
        <w:rPr>
          <w:sz w:val="20"/>
        </w:rPr>
      </w:pPr>
      <w:r w:rsidRPr="00721567">
        <w:rPr>
          <w:b/>
          <w:sz w:val="20"/>
        </w:rPr>
        <w:t>Question K.2</w:t>
      </w:r>
      <w:r w:rsidR="00423C34">
        <w:rPr>
          <w:b/>
          <w:sz w:val="20"/>
        </w:rPr>
        <w:t>.</w:t>
      </w:r>
      <w:r w:rsidRPr="00721567">
        <w:rPr>
          <w:b/>
          <w:sz w:val="20"/>
        </w:rPr>
        <w:t>a:</w:t>
      </w:r>
      <w:r w:rsidR="00423C34">
        <w:rPr>
          <w:b/>
          <w:sz w:val="20"/>
        </w:rPr>
        <w:t xml:space="preserve">  </w:t>
      </w:r>
      <w:r w:rsidR="00080708">
        <w:rPr>
          <w:sz w:val="20"/>
        </w:rPr>
        <w:tab/>
      </w:r>
      <w:r w:rsidRPr="00721567">
        <w:rPr>
          <w:sz w:val="20"/>
        </w:rPr>
        <w:t>Is a “judicial action” limited to actions filed in State, federal, or tribal courts?</w:t>
      </w:r>
    </w:p>
    <w:p w:rsidR="00CA5AD6" w:rsidRPr="00721567" w:rsidRDefault="00CA5AD6" w:rsidP="00651D87">
      <w:pPr>
        <w:widowControl/>
        <w:spacing w:line="360" w:lineRule="auto"/>
        <w:ind w:left="720"/>
        <w:rPr>
          <w:sz w:val="20"/>
        </w:rPr>
      </w:pPr>
      <w:r w:rsidRPr="00721567">
        <w:rPr>
          <w:b/>
          <w:sz w:val="20"/>
        </w:rPr>
        <w:t>Question K.2</w:t>
      </w:r>
      <w:r w:rsidR="00423C34">
        <w:rPr>
          <w:b/>
          <w:sz w:val="20"/>
        </w:rPr>
        <w:t>.</w:t>
      </w:r>
      <w:r w:rsidRPr="00721567">
        <w:rPr>
          <w:b/>
          <w:sz w:val="20"/>
        </w:rPr>
        <w:t>b:</w:t>
      </w:r>
      <w:r w:rsidR="00423C34">
        <w:rPr>
          <w:b/>
          <w:sz w:val="20"/>
        </w:rPr>
        <w:t xml:space="preserve">  </w:t>
      </w:r>
      <w:r w:rsidRPr="00721567">
        <w:rPr>
          <w:sz w:val="20"/>
        </w:rPr>
        <w:t xml:space="preserve">Does it include foreign (non-US) judicial actions?  </w:t>
      </w:r>
    </w:p>
    <w:p w:rsidR="00CA5AD6" w:rsidRPr="00721567" w:rsidRDefault="00CA5AD6" w:rsidP="00651D87">
      <w:pPr>
        <w:widowControl/>
        <w:spacing w:line="360" w:lineRule="auto"/>
        <w:ind w:left="720"/>
        <w:rPr>
          <w:sz w:val="20"/>
        </w:rPr>
      </w:pPr>
      <w:r w:rsidRPr="00721567">
        <w:rPr>
          <w:b/>
          <w:sz w:val="20"/>
        </w:rPr>
        <w:t>Question K.2</w:t>
      </w:r>
      <w:r w:rsidR="00423C34">
        <w:rPr>
          <w:b/>
          <w:sz w:val="20"/>
        </w:rPr>
        <w:t>.</w:t>
      </w:r>
      <w:r w:rsidRPr="00721567">
        <w:rPr>
          <w:b/>
          <w:sz w:val="20"/>
        </w:rPr>
        <w:t>c:</w:t>
      </w:r>
      <w:r w:rsidR="00423C34">
        <w:rPr>
          <w:b/>
          <w:sz w:val="20"/>
        </w:rPr>
        <w:t xml:space="preserve">  </w:t>
      </w:r>
      <w:r w:rsidR="00080708">
        <w:rPr>
          <w:sz w:val="20"/>
        </w:rPr>
        <w:tab/>
      </w:r>
      <w:r w:rsidRPr="00721567">
        <w:rPr>
          <w:sz w:val="20"/>
        </w:rPr>
        <w:t xml:space="preserve">Do proceedings before executive branch administrative bodies (such as the North Carolina Industrial Commission) qualify as a “judicial action”?  </w:t>
      </w:r>
    </w:p>
    <w:p w:rsidR="00CA5AD6" w:rsidRPr="00721567" w:rsidRDefault="00CA5AD6" w:rsidP="00651D87">
      <w:pPr>
        <w:widowControl/>
        <w:spacing w:line="360" w:lineRule="auto"/>
        <w:ind w:left="720"/>
        <w:rPr>
          <w:sz w:val="20"/>
        </w:rPr>
      </w:pPr>
      <w:r w:rsidRPr="00721567">
        <w:rPr>
          <w:b/>
          <w:sz w:val="20"/>
        </w:rPr>
        <w:t>Question K.2</w:t>
      </w:r>
      <w:r w:rsidR="00423C34">
        <w:rPr>
          <w:b/>
          <w:sz w:val="20"/>
        </w:rPr>
        <w:t>.</w:t>
      </w:r>
      <w:r w:rsidRPr="00721567">
        <w:rPr>
          <w:b/>
          <w:sz w:val="20"/>
        </w:rPr>
        <w:t>d</w:t>
      </w:r>
      <w:r w:rsidR="00080708" w:rsidRPr="00423C34">
        <w:rPr>
          <w:b/>
          <w:sz w:val="20"/>
        </w:rPr>
        <w:t>:</w:t>
      </w:r>
      <w:r w:rsidR="00423C34">
        <w:rPr>
          <w:b/>
          <w:sz w:val="20"/>
        </w:rPr>
        <w:t xml:space="preserve">  </w:t>
      </w:r>
      <w:r w:rsidRPr="00721567">
        <w:rPr>
          <w:sz w:val="20"/>
        </w:rPr>
        <w:t xml:space="preserve">Does it include judicial actions filed in the United States Armed Forces courts?  </w:t>
      </w:r>
    </w:p>
    <w:p w:rsidR="00CA5AD6" w:rsidRPr="00721567" w:rsidRDefault="00CA5AD6" w:rsidP="00651D87">
      <w:pPr>
        <w:widowControl/>
        <w:spacing w:line="360" w:lineRule="auto"/>
        <w:ind w:left="720"/>
        <w:rPr>
          <w:sz w:val="20"/>
        </w:rPr>
      </w:pPr>
      <w:r w:rsidRPr="00721567">
        <w:rPr>
          <w:b/>
          <w:sz w:val="20"/>
        </w:rPr>
        <w:t>Question K.2</w:t>
      </w:r>
      <w:r w:rsidR="00423C34">
        <w:rPr>
          <w:b/>
          <w:sz w:val="20"/>
        </w:rPr>
        <w:t>.</w:t>
      </w:r>
      <w:r w:rsidRPr="00721567">
        <w:rPr>
          <w:b/>
          <w:sz w:val="20"/>
        </w:rPr>
        <w:t>e:</w:t>
      </w:r>
      <w:r w:rsidR="00423C34">
        <w:rPr>
          <w:b/>
          <w:sz w:val="20"/>
        </w:rPr>
        <w:t xml:space="preserve">  </w:t>
      </w:r>
      <w:r w:rsidR="00080708">
        <w:rPr>
          <w:sz w:val="20"/>
        </w:rPr>
        <w:tab/>
      </w:r>
      <w:r w:rsidRPr="00721567">
        <w:rPr>
          <w:sz w:val="20"/>
        </w:rPr>
        <w:t>Are there existing North Carolina statutory provisions that may help with understanding the scope of acceptable “judicial actions”?  If yes, please be specific.</w:t>
      </w:r>
    </w:p>
    <w:p w:rsidR="00CA5AD6" w:rsidRPr="00721567" w:rsidRDefault="00CA5AD6" w:rsidP="00651D87">
      <w:pPr>
        <w:widowControl/>
        <w:spacing w:line="360" w:lineRule="auto"/>
        <w:ind w:left="720"/>
        <w:rPr>
          <w:sz w:val="20"/>
        </w:rPr>
      </w:pPr>
      <w:r w:rsidRPr="00721567">
        <w:rPr>
          <w:b/>
          <w:sz w:val="20"/>
        </w:rPr>
        <w:t>Question K.2</w:t>
      </w:r>
      <w:r w:rsidR="00423C34">
        <w:rPr>
          <w:b/>
          <w:sz w:val="20"/>
        </w:rPr>
        <w:t>.</w:t>
      </w:r>
      <w:r w:rsidRPr="00721567">
        <w:rPr>
          <w:b/>
          <w:sz w:val="20"/>
        </w:rPr>
        <w:t>f:</w:t>
      </w:r>
      <w:r w:rsidR="00C87F51">
        <w:rPr>
          <w:b/>
          <w:sz w:val="20"/>
        </w:rPr>
        <w:t xml:space="preserve">  </w:t>
      </w:r>
      <w:r w:rsidRPr="00721567">
        <w:rPr>
          <w:sz w:val="20"/>
        </w:rPr>
        <w:t>How should the rules define “judicial actions” in order to provide adequate guidance to notaries and all parties?</w:t>
      </w:r>
    </w:p>
    <w:p w:rsidR="00CA5AD6" w:rsidRPr="00721567" w:rsidRDefault="00CA5AD6" w:rsidP="00651D87">
      <w:pPr>
        <w:widowControl/>
        <w:spacing w:line="360" w:lineRule="auto"/>
        <w:rPr>
          <w:sz w:val="20"/>
        </w:rPr>
      </w:pPr>
      <w:r w:rsidRPr="00721567">
        <w:rPr>
          <w:b/>
          <w:sz w:val="20"/>
        </w:rPr>
        <w:t>Question K.3:</w:t>
      </w:r>
      <w:r w:rsidR="00C87F51">
        <w:rPr>
          <w:b/>
          <w:sz w:val="20"/>
        </w:rPr>
        <w:t xml:space="preserve">  </w:t>
      </w:r>
      <w:r w:rsidRPr="00721567">
        <w:rPr>
          <w:sz w:val="20"/>
        </w:rPr>
        <w:t>How should “proceedings” be interpreted?  For example:</w:t>
      </w:r>
    </w:p>
    <w:p w:rsidR="00CA5AD6" w:rsidRPr="00721567" w:rsidRDefault="00CA5AD6" w:rsidP="00651D87">
      <w:pPr>
        <w:widowControl/>
        <w:spacing w:line="360" w:lineRule="auto"/>
        <w:ind w:left="720"/>
        <w:rPr>
          <w:sz w:val="20"/>
        </w:rPr>
      </w:pPr>
      <w:r w:rsidRPr="00721567">
        <w:rPr>
          <w:b/>
          <w:sz w:val="20"/>
        </w:rPr>
        <w:t>Question K.3.a:</w:t>
      </w:r>
      <w:r w:rsidR="00C87F51">
        <w:rPr>
          <w:b/>
          <w:sz w:val="20"/>
        </w:rPr>
        <w:t xml:space="preserve">  </w:t>
      </w:r>
      <w:r w:rsidRPr="00721567">
        <w:rPr>
          <w:sz w:val="20"/>
        </w:rPr>
        <w:t>Is there a statutory definition of “judicial proceedings” or “proceedings” to which the Agency may refer for guidance?  If yes, what is it?  Please be specific.</w:t>
      </w:r>
    </w:p>
    <w:p w:rsidR="00CA5AD6" w:rsidRPr="00721567" w:rsidRDefault="00CA5AD6" w:rsidP="00651D87">
      <w:pPr>
        <w:widowControl/>
        <w:spacing w:line="360" w:lineRule="auto"/>
        <w:ind w:left="720"/>
        <w:rPr>
          <w:sz w:val="20"/>
        </w:rPr>
      </w:pPr>
      <w:r w:rsidRPr="00721567">
        <w:rPr>
          <w:b/>
          <w:sz w:val="20"/>
        </w:rPr>
        <w:t>Question K.3</w:t>
      </w:r>
      <w:r w:rsidR="00423C34">
        <w:rPr>
          <w:b/>
          <w:sz w:val="20"/>
        </w:rPr>
        <w:t>.</w:t>
      </w:r>
      <w:r w:rsidRPr="00721567">
        <w:rPr>
          <w:b/>
          <w:sz w:val="20"/>
        </w:rPr>
        <w:t>b</w:t>
      </w:r>
      <w:r w:rsidRPr="00423C34">
        <w:rPr>
          <w:b/>
          <w:sz w:val="20"/>
        </w:rPr>
        <w:t>:</w:t>
      </w:r>
      <w:r w:rsidR="00C87F51">
        <w:rPr>
          <w:b/>
          <w:sz w:val="20"/>
        </w:rPr>
        <w:t xml:space="preserve">  </w:t>
      </w:r>
      <w:r w:rsidR="00E76E9C" w:rsidRPr="00721567">
        <w:rPr>
          <w:sz w:val="20"/>
        </w:rPr>
        <w:t>Does a proceeding include</w:t>
      </w:r>
      <w:r w:rsidRPr="00721567">
        <w:rPr>
          <w:sz w:val="20"/>
        </w:rPr>
        <w:t xml:space="preserve"> a deposition taken in connection with an action filed before a State, federal, or tribal court? </w:t>
      </w:r>
    </w:p>
    <w:p w:rsidR="00CA5AD6" w:rsidRPr="00721567" w:rsidRDefault="00CA5AD6" w:rsidP="00651D87">
      <w:pPr>
        <w:widowControl/>
        <w:spacing w:line="360" w:lineRule="auto"/>
        <w:ind w:left="720"/>
        <w:rPr>
          <w:sz w:val="20"/>
        </w:rPr>
      </w:pPr>
      <w:r w:rsidRPr="00721567">
        <w:rPr>
          <w:b/>
          <w:sz w:val="20"/>
        </w:rPr>
        <w:t>Question K.3</w:t>
      </w:r>
      <w:r w:rsidR="00423C34">
        <w:rPr>
          <w:b/>
          <w:sz w:val="20"/>
        </w:rPr>
        <w:t>.</w:t>
      </w:r>
      <w:r w:rsidRPr="00721567">
        <w:rPr>
          <w:b/>
          <w:sz w:val="20"/>
        </w:rPr>
        <w:t>c:</w:t>
      </w:r>
      <w:r w:rsidR="00C87F51">
        <w:rPr>
          <w:b/>
          <w:sz w:val="20"/>
        </w:rPr>
        <w:t xml:space="preserve">  </w:t>
      </w:r>
      <w:r w:rsidR="00080708">
        <w:rPr>
          <w:sz w:val="20"/>
        </w:rPr>
        <w:tab/>
      </w:r>
      <w:r w:rsidRPr="00721567">
        <w:rPr>
          <w:sz w:val="20"/>
        </w:rPr>
        <w:t xml:space="preserve">Does a proceeding include a deposition taken in anticipation of litigation but before there is a filing in court?  </w:t>
      </w:r>
    </w:p>
    <w:p w:rsidR="00CA5AD6" w:rsidRPr="00721567" w:rsidRDefault="00CA5AD6" w:rsidP="00651D87">
      <w:pPr>
        <w:widowControl/>
        <w:spacing w:line="360" w:lineRule="auto"/>
        <w:ind w:left="720"/>
        <w:rPr>
          <w:sz w:val="20"/>
        </w:rPr>
      </w:pPr>
      <w:r w:rsidRPr="00721567">
        <w:rPr>
          <w:b/>
          <w:sz w:val="20"/>
        </w:rPr>
        <w:t>Question K.3</w:t>
      </w:r>
      <w:r w:rsidR="00423C34">
        <w:rPr>
          <w:b/>
          <w:sz w:val="20"/>
        </w:rPr>
        <w:t>.</w:t>
      </w:r>
      <w:r w:rsidRPr="00721567">
        <w:rPr>
          <w:b/>
          <w:sz w:val="20"/>
        </w:rPr>
        <w:t>d:</w:t>
      </w:r>
      <w:r w:rsidR="00C87F51">
        <w:rPr>
          <w:b/>
          <w:sz w:val="20"/>
        </w:rPr>
        <w:t xml:space="preserve">  </w:t>
      </w:r>
      <w:r w:rsidRPr="00721567">
        <w:rPr>
          <w:sz w:val="20"/>
        </w:rPr>
        <w:t xml:space="preserve">Does a proceeding include hearings before a State, federal, or tribal executive branch hearing officer or agency such as the Industrial Commission or Licensing Board for General Contractors? </w:t>
      </w:r>
    </w:p>
    <w:p w:rsidR="00CA5AD6" w:rsidRPr="00721567" w:rsidRDefault="00CA5AD6" w:rsidP="00651D87">
      <w:pPr>
        <w:widowControl/>
        <w:spacing w:line="360" w:lineRule="auto"/>
        <w:ind w:left="720"/>
        <w:rPr>
          <w:sz w:val="20"/>
        </w:rPr>
      </w:pPr>
      <w:r w:rsidRPr="00721567">
        <w:rPr>
          <w:b/>
          <w:sz w:val="20"/>
        </w:rPr>
        <w:t>Question K.3</w:t>
      </w:r>
      <w:r w:rsidR="00423C34">
        <w:rPr>
          <w:b/>
          <w:sz w:val="20"/>
        </w:rPr>
        <w:t>.</w:t>
      </w:r>
      <w:r w:rsidRPr="00721567">
        <w:rPr>
          <w:b/>
          <w:sz w:val="20"/>
        </w:rPr>
        <w:t>e:</w:t>
      </w:r>
      <w:r w:rsidR="00C87F51">
        <w:rPr>
          <w:b/>
          <w:sz w:val="20"/>
        </w:rPr>
        <w:t xml:space="preserve">  </w:t>
      </w:r>
      <w:r w:rsidR="00080708">
        <w:rPr>
          <w:sz w:val="20"/>
        </w:rPr>
        <w:tab/>
      </w:r>
      <w:r w:rsidRPr="00721567">
        <w:rPr>
          <w:sz w:val="20"/>
        </w:rPr>
        <w:t>Does it include proceedings in the United States Armed Forces courts?</w:t>
      </w:r>
    </w:p>
    <w:p w:rsidR="00CA5AD6" w:rsidRPr="00721567" w:rsidRDefault="00CA5AD6" w:rsidP="00651D87">
      <w:pPr>
        <w:widowControl/>
        <w:spacing w:line="360" w:lineRule="auto"/>
        <w:ind w:left="720"/>
        <w:rPr>
          <w:sz w:val="20"/>
        </w:rPr>
      </w:pPr>
      <w:r w:rsidRPr="00721567">
        <w:rPr>
          <w:b/>
          <w:sz w:val="20"/>
        </w:rPr>
        <w:t>Question K.3</w:t>
      </w:r>
      <w:r w:rsidR="00423C34">
        <w:rPr>
          <w:b/>
          <w:sz w:val="20"/>
        </w:rPr>
        <w:t>.</w:t>
      </w:r>
      <w:r w:rsidRPr="00721567">
        <w:rPr>
          <w:b/>
          <w:sz w:val="20"/>
        </w:rPr>
        <w:t>f:</w:t>
      </w:r>
      <w:r w:rsidR="00C87F51">
        <w:rPr>
          <w:b/>
          <w:sz w:val="20"/>
        </w:rPr>
        <w:t xml:space="preserve">  </w:t>
      </w:r>
      <w:r w:rsidRPr="00721567">
        <w:rPr>
          <w:sz w:val="20"/>
        </w:rPr>
        <w:t xml:space="preserve">How should the rules define proceedings in order to provide adequate guidance to notaries and all parties? </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RENA provides limited guidance regarding the technology to be used for the virtual oaths or affirmations performed by a notary.  RENA states only that the notary must satisfy all the identity proofing requirements set out in RENA.</w:t>
      </w:r>
      <w:r w:rsidR="005E0B57" w:rsidRPr="00721567">
        <w:rPr>
          <w:rStyle w:val="FootnoteReference"/>
          <w:sz w:val="20"/>
          <w:vertAlign w:val="superscript"/>
        </w:rPr>
        <w:footnoteReference w:id="75"/>
      </w:r>
      <w:r w:rsidRPr="00721567">
        <w:rPr>
          <w:sz w:val="20"/>
          <w:vertAlign w:val="superscript"/>
        </w:rPr>
        <w:t xml:space="preserve"> </w:t>
      </w:r>
      <w:r w:rsidRPr="00721567">
        <w:rPr>
          <w:sz w:val="20"/>
        </w:rPr>
        <w:t xml:space="preserve"> Since the notary is not required to select the technology, it is unclear how a notary will know if the technology complies with RENA requirements including those </w:t>
      </w:r>
      <w:r w:rsidR="00E877EF" w:rsidRPr="00721567">
        <w:rPr>
          <w:sz w:val="20"/>
        </w:rPr>
        <w:t>for “</w:t>
      </w:r>
      <w:r w:rsidRPr="00721567">
        <w:rPr>
          <w:sz w:val="20"/>
        </w:rPr>
        <w:t xml:space="preserve">identity proofing”.  </w:t>
      </w:r>
    </w:p>
    <w:p w:rsidR="00CF5EDE" w:rsidRDefault="00CF5EDE" w:rsidP="00651D87">
      <w:pPr>
        <w:widowControl/>
        <w:tabs>
          <w:tab w:val="left" w:pos="720"/>
        </w:tabs>
        <w:spacing w:line="360" w:lineRule="auto"/>
        <w:rPr>
          <w:b/>
          <w:sz w:val="20"/>
        </w:rPr>
      </w:pPr>
    </w:p>
    <w:p w:rsidR="00CA5AD6" w:rsidRPr="00721567" w:rsidRDefault="00CA5AD6" w:rsidP="00651D87">
      <w:pPr>
        <w:widowControl/>
        <w:tabs>
          <w:tab w:val="left" w:pos="720"/>
        </w:tabs>
        <w:spacing w:line="360" w:lineRule="auto"/>
        <w:rPr>
          <w:sz w:val="20"/>
        </w:rPr>
      </w:pPr>
      <w:r w:rsidRPr="00721567">
        <w:rPr>
          <w:b/>
          <w:sz w:val="20"/>
        </w:rPr>
        <w:lastRenderedPageBreak/>
        <w:t>Question K.4:</w:t>
      </w:r>
      <w:r w:rsidR="00623201">
        <w:rPr>
          <w:b/>
          <w:sz w:val="20"/>
        </w:rPr>
        <w:t xml:space="preserve">  </w:t>
      </w:r>
      <w:r w:rsidRPr="00721567">
        <w:rPr>
          <w:sz w:val="20"/>
        </w:rPr>
        <w:t xml:space="preserve">Is there any reason why the identity proofing used for remote oaths or affirmations taken remotely in “judicial actions or proceedings” may be any technology other than that which is licensed or approved by the Secretary?   </w:t>
      </w:r>
    </w:p>
    <w:p w:rsidR="00CA5AD6" w:rsidRPr="00721567" w:rsidRDefault="00CA5AD6" w:rsidP="00651D87">
      <w:pPr>
        <w:widowControl/>
        <w:spacing w:line="360" w:lineRule="auto"/>
        <w:ind w:left="720"/>
        <w:rPr>
          <w:sz w:val="20"/>
        </w:rPr>
      </w:pPr>
      <w:r w:rsidRPr="00721567">
        <w:rPr>
          <w:b/>
          <w:sz w:val="20"/>
        </w:rPr>
        <w:t>Question K.4</w:t>
      </w:r>
      <w:r w:rsidR="00C87F51">
        <w:rPr>
          <w:b/>
          <w:sz w:val="20"/>
        </w:rPr>
        <w:t>.</w:t>
      </w:r>
      <w:r w:rsidRPr="00721567">
        <w:rPr>
          <w:b/>
          <w:sz w:val="20"/>
        </w:rPr>
        <w:t>a:</w:t>
      </w:r>
      <w:r w:rsidR="00C87F51">
        <w:rPr>
          <w:b/>
          <w:sz w:val="20"/>
        </w:rPr>
        <w:t xml:space="preserve">  </w:t>
      </w:r>
      <w:r w:rsidR="00080708">
        <w:rPr>
          <w:b/>
          <w:sz w:val="20"/>
        </w:rPr>
        <w:tab/>
      </w:r>
      <w:r w:rsidRPr="00721567">
        <w:rPr>
          <w:sz w:val="20"/>
        </w:rPr>
        <w:t>If the identity proofing technology need not be technology approved by the Secretary under RENA, why not?  Please explain and provide the statutory basis for your explanation.</w:t>
      </w:r>
    </w:p>
    <w:p w:rsidR="00CA5AD6" w:rsidRPr="00721567" w:rsidRDefault="00CA5AD6" w:rsidP="00651D87">
      <w:pPr>
        <w:widowControl/>
        <w:spacing w:line="360" w:lineRule="auto"/>
        <w:ind w:left="720"/>
        <w:rPr>
          <w:sz w:val="20"/>
        </w:rPr>
      </w:pPr>
      <w:r w:rsidRPr="00721567">
        <w:rPr>
          <w:b/>
          <w:sz w:val="20"/>
        </w:rPr>
        <w:t>Question K.4</w:t>
      </w:r>
      <w:r w:rsidR="00C87F51">
        <w:rPr>
          <w:b/>
          <w:sz w:val="20"/>
        </w:rPr>
        <w:t>.</w:t>
      </w:r>
      <w:r w:rsidRPr="00721567">
        <w:rPr>
          <w:b/>
          <w:sz w:val="20"/>
        </w:rPr>
        <w:t>b:</w:t>
      </w:r>
      <w:r w:rsidR="00C87F51">
        <w:rPr>
          <w:b/>
          <w:sz w:val="20"/>
        </w:rPr>
        <w:t xml:space="preserve">  </w:t>
      </w:r>
      <w:r w:rsidRPr="00721567">
        <w:rPr>
          <w:sz w:val="20"/>
        </w:rPr>
        <w:t>Is there any a reason why the communication technology selected by someone other than the notary and used for r</w:t>
      </w:r>
      <w:r w:rsidR="004C6B1E">
        <w:rPr>
          <w:sz w:val="20"/>
        </w:rPr>
        <w:t>emote oaths or affirmations in “</w:t>
      </w:r>
      <w:r w:rsidRPr="00721567">
        <w:rPr>
          <w:sz w:val="20"/>
        </w:rPr>
        <w:t>judicial actions or proceedings” may be</w:t>
      </w:r>
      <w:r w:rsidRPr="00721567" w:rsidDel="00185EE3">
        <w:rPr>
          <w:sz w:val="20"/>
        </w:rPr>
        <w:t xml:space="preserve"> </w:t>
      </w:r>
      <w:r w:rsidRPr="00721567">
        <w:rPr>
          <w:sz w:val="20"/>
        </w:rPr>
        <w:t xml:space="preserve"> technology other than that approved or licensed</w:t>
      </w:r>
      <w:r w:rsidRPr="00721567">
        <w:rPr>
          <w:sz w:val="20"/>
          <w:vertAlign w:val="superscript"/>
        </w:rPr>
        <w:footnoteReference w:id="76"/>
      </w:r>
      <w:r w:rsidRPr="00721567">
        <w:rPr>
          <w:sz w:val="20"/>
        </w:rPr>
        <w:t xml:space="preserve"> by the Secretary?   </w:t>
      </w:r>
    </w:p>
    <w:p w:rsidR="00CA5AD6" w:rsidRPr="00721567" w:rsidRDefault="00CA5AD6" w:rsidP="00651D87">
      <w:pPr>
        <w:widowControl/>
        <w:spacing w:line="360" w:lineRule="auto"/>
        <w:rPr>
          <w:sz w:val="20"/>
        </w:rPr>
      </w:pPr>
      <w:r w:rsidRPr="00721567">
        <w:rPr>
          <w:b/>
          <w:sz w:val="20"/>
        </w:rPr>
        <w:t>Question K.5:</w:t>
      </w:r>
      <w:r w:rsidR="00623201">
        <w:rPr>
          <w:b/>
          <w:sz w:val="20"/>
        </w:rPr>
        <w:t xml:space="preserve">  </w:t>
      </w:r>
      <w:r w:rsidRPr="00721567">
        <w:rPr>
          <w:sz w:val="20"/>
        </w:rPr>
        <w:t>Should the rules provide any requirements for the technology for the REN oaths and affirmations exception other than for the “identity proofing” element?  For example, should the rules require that:</w:t>
      </w:r>
    </w:p>
    <w:p w:rsidR="00CA5AD6" w:rsidRPr="00721567" w:rsidRDefault="00CA5AD6" w:rsidP="00651D87">
      <w:pPr>
        <w:widowControl/>
        <w:spacing w:line="360" w:lineRule="auto"/>
        <w:ind w:left="720"/>
        <w:rPr>
          <w:sz w:val="20"/>
        </w:rPr>
      </w:pPr>
      <w:r w:rsidRPr="00721567">
        <w:rPr>
          <w:b/>
          <w:sz w:val="20"/>
        </w:rPr>
        <w:t>Question K</w:t>
      </w:r>
      <w:r w:rsidR="00C87F51">
        <w:rPr>
          <w:b/>
          <w:sz w:val="20"/>
        </w:rPr>
        <w:t>.</w:t>
      </w:r>
      <w:r w:rsidRPr="00721567">
        <w:rPr>
          <w:b/>
          <w:sz w:val="20"/>
        </w:rPr>
        <w:t>5</w:t>
      </w:r>
      <w:r w:rsidR="00C87F51">
        <w:rPr>
          <w:b/>
          <w:sz w:val="20"/>
        </w:rPr>
        <w:t>.</w:t>
      </w:r>
      <w:r w:rsidRPr="00721567">
        <w:rPr>
          <w:b/>
          <w:sz w:val="20"/>
        </w:rPr>
        <w:t>a</w:t>
      </w:r>
      <w:r w:rsidR="00080708" w:rsidRPr="00C87F51">
        <w:rPr>
          <w:b/>
          <w:sz w:val="20"/>
        </w:rPr>
        <w:t>:</w:t>
      </w:r>
      <w:r w:rsidR="00C87F51">
        <w:rPr>
          <w:b/>
          <w:sz w:val="20"/>
        </w:rPr>
        <w:t xml:space="preserve">  </w:t>
      </w:r>
      <w:r w:rsidRPr="00721567">
        <w:rPr>
          <w:sz w:val="20"/>
        </w:rPr>
        <w:t>The notary and remotely located principal be able to simultaneously see and hear each other?</w:t>
      </w:r>
    </w:p>
    <w:p w:rsidR="00CA5AD6" w:rsidRPr="00721567" w:rsidRDefault="00CA5AD6" w:rsidP="00651D87">
      <w:pPr>
        <w:widowControl/>
        <w:spacing w:line="360" w:lineRule="auto"/>
        <w:ind w:left="720"/>
        <w:rPr>
          <w:sz w:val="20"/>
        </w:rPr>
      </w:pPr>
      <w:r w:rsidRPr="00721567">
        <w:rPr>
          <w:b/>
          <w:sz w:val="20"/>
        </w:rPr>
        <w:t>Question K.5b</w:t>
      </w:r>
      <w:r w:rsidR="00080708" w:rsidRPr="00C87F51">
        <w:rPr>
          <w:b/>
          <w:sz w:val="20"/>
        </w:rPr>
        <w:t>:</w:t>
      </w:r>
      <w:r w:rsidR="00C87F51">
        <w:rPr>
          <w:b/>
          <w:sz w:val="20"/>
        </w:rPr>
        <w:t xml:space="preserve">  </w:t>
      </w:r>
      <w:r w:rsidRPr="00721567">
        <w:rPr>
          <w:sz w:val="20"/>
        </w:rPr>
        <w:t xml:space="preserve">The notary - as with any other notarial act - personally review the witness’ satisfactory evidence of identity, after the technological identity proofing has occurred? </w:t>
      </w:r>
    </w:p>
    <w:p w:rsidR="00CA5AD6" w:rsidRPr="00721567" w:rsidRDefault="00CA5AD6" w:rsidP="00651D87">
      <w:pPr>
        <w:widowControl/>
        <w:spacing w:line="360" w:lineRule="auto"/>
        <w:ind w:left="720"/>
        <w:rPr>
          <w:sz w:val="20"/>
        </w:rPr>
      </w:pPr>
      <w:r w:rsidRPr="00721567">
        <w:rPr>
          <w:b/>
          <w:sz w:val="20"/>
        </w:rPr>
        <w:t>Question K.5</w:t>
      </w:r>
      <w:r w:rsidR="00C87F51">
        <w:rPr>
          <w:b/>
          <w:sz w:val="20"/>
        </w:rPr>
        <w:t>.</w:t>
      </w:r>
      <w:r w:rsidRPr="00721567">
        <w:rPr>
          <w:b/>
          <w:sz w:val="20"/>
        </w:rPr>
        <w:t>c</w:t>
      </w:r>
      <w:r w:rsidR="00080708" w:rsidRPr="00C87F51">
        <w:rPr>
          <w:b/>
          <w:sz w:val="20"/>
        </w:rPr>
        <w:t>:</w:t>
      </w:r>
      <w:r w:rsidR="00C87F51">
        <w:rPr>
          <w:b/>
          <w:sz w:val="20"/>
        </w:rPr>
        <w:t xml:space="preserve">  </w:t>
      </w:r>
      <w:r w:rsidR="00080708">
        <w:rPr>
          <w:sz w:val="20"/>
        </w:rPr>
        <w:tab/>
      </w:r>
      <w:r w:rsidRPr="00721567">
        <w:rPr>
          <w:sz w:val="20"/>
        </w:rPr>
        <w:t>The notary be the one to determine if there has been enough time to review the witness’ satisfactory evidence of identity?</w:t>
      </w:r>
    </w:p>
    <w:p w:rsidR="00CA5AD6" w:rsidRPr="00721567" w:rsidRDefault="00CA5AD6" w:rsidP="00651D87">
      <w:pPr>
        <w:widowControl/>
        <w:spacing w:line="360" w:lineRule="auto"/>
        <w:ind w:left="720"/>
        <w:rPr>
          <w:sz w:val="20"/>
        </w:rPr>
      </w:pPr>
      <w:r w:rsidRPr="00721567">
        <w:rPr>
          <w:b/>
          <w:sz w:val="20"/>
        </w:rPr>
        <w:t>Question K.5</w:t>
      </w:r>
      <w:r w:rsidR="00C87F51">
        <w:rPr>
          <w:b/>
          <w:sz w:val="20"/>
        </w:rPr>
        <w:t>.</w:t>
      </w:r>
      <w:r w:rsidRPr="00721567">
        <w:rPr>
          <w:b/>
          <w:sz w:val="20"/>
        </w:rPr>
        <w:t>d:</w:t>
      </w:r>
      <w:r w:rsidR="00C87F51">
        <w:rPr>
          <w:b/>
          <w:sz w:val="20"/>
        </w:rPr>
        <w:t xml:space="preserve">  </w:t>
      </w:r>
      <w:r w:rsidRPr="00721567">
        <w:rPr>
          <w:sz w:val="20"/>
        </w:rPr>
        <w:t>Is there anything else that the rules should include with regard to oaths or affirmations made remotely in judicial actions or proceedings?</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r w:rsidRPr="00721567">
        <w:rPr>
          <w:sz w:val="20"/>
        </w:rPr>
        <w:t>RENA does not require any journal record – whether electronic or traditional paper entry -- for oaths or affirmations performed under this section.</w:t>
      </w:r>
    </w:p>
    <w:p w:rsidR="00CF5EDE" w:rsidRDefault="00CF5EDE" w:rsidP="00651D87">
      <w:pPr>
        <w:widowControl/>
        <w:spacing w:line="360" w:lineRule="auto"/>
        <w:rPr>
          <w:b/>
          <w:sz w:val="20"/>
        </w:rPr>
      </w:pPr>
    </w:p>
    <w:p w:rsidR="00CA5AD6" w:rsidRPr="00721567" w:rsidRDefault="00CA5AD6" w:rsidP="00651D87">
      <w:pPr>
        <w:widowControl/>
        <w:spacing w:line="360" w:lineRule="auto"/>
        <w:rPr>
          <w:sz w:val="20"/>
        </w:rPr>
      </w:pPr>
      <w:r w:rsidRPr="00721567">
        <w:rPr>
          <w:b/>
          <w:sz w:val="20"/>
        </w:rPr>
        <w:t>Question K.6:</w:t>
      </w:r>
      <w:r w:rsidR="00623201">
        <w:rPr>
          <w:b/>
          <w:sz w:val="20"/>
        </w:rPr>
        <w:t xml:space="preserve">  </w:t>
      </w:r>
      <w:r w:rsidRPr="00721567">
        <w:rPr>
          <w:sz w:val="20"/>
        </w:rPr>
        <w:t>Should the rules require such an entry?  Why or why not?</w:t>
      </w:r>
    </w:p>
    <w:p w:rsidR="00CA5AD6" w:rsidRPr="00721567" w:rsidRDefault="00CA5AD6" w:rsidP="00651D87">
      <w:pPr>
        <w:widowControl/>
        <w:spacing w:line="360" w:lineRule="auto"/>
        <w:rPr>
          <w:sz w:val="20"/>
        </w:rPr>
      </w:pPr>
      <w:r w:rsidRPr="00721567">
        <w:rPr>
          <w:b/>
          <w:sz w:val="20"/>
        </w:rPr>
        <w:t>Question K.7:</w:t>
      </w:r>
      <w:r w:rsidR="00623201">
        <w:rPr>
          <w:b/>
          <w:sz w:val="20"/>
        </w:rPr>
        <w:t xml:space="preserve">  </w:t>
      </w:r>
      <w:r w:rsidRPr="00721567">
        <w:rPr>
          <w:sz w:val="20"/>
        </w:rPr>
        <w:t>Are there any other issues that the rules should address with regard to the remote oath or affirmation exception to RENA?  If yes, what are they and how should the rules address them?</w:t>
      </w:r>
    </w:p>
    <w:p w:rsidR="00CA5AD6" w:rsidRPr="00721567" w:rsidRDefault="00CA5AD6" w:rsidP="00651D87">
      <w:pPr>
        <w:widowControl/>
        <w:spacing w:line="360" w:lineRule="auto"/>
        <w:rPr>
          <w:sz w:val="20"/>
        </w:rPr>
      </w:pPr>
    </w:p>
    <w:p w:rsidR="00CA5AD6" w:rsidRPr="00B42714" w:rsidRDefault="00CA5AD6" w:rsidP="000F661F">
      <w:pPr>
        <w:pStyle w:val="Heading1"/>
        <w:spacing w:line="360" w:lineRule="auto"/>
        <w:ind w:left="0"/>
        <w:jc w:val="left"/>
        <w:rPr>
          <w:b/>
          <w:caps/>
          <w:sz w:val="20"/>
        </w:rPr>
      </w:pPr>
      <w:bookmarkStart w:id="12" w:name="_Toc117090625"/>
      <w:r w:rsidRPr="00B42714">
        <w:rPr>
          <w:b/>
          <w:caps/>
          <w:sz w:val="20"/>
        </w:rPr>
        <w:t xml:space="preserve">L.  </w:t>
      </w:r>
      <w:r w:rsidR="00080708" w:rsidRPr="00B42714">
        <w:rPr>
          <w:b/>
          <w:caps/>
          <w:sz w:val="20"/>
        </w:rPr>
        <w:tab/>
      </w:r>
      <w:r w:rsidRPr="00B42714">
        <w:rPr>
          <w:b/>
          <w:caps/>
          <w:sz w:val="20"/>
        </w:rPr>
        <w:t xml:space="preserve">Documents </w:t>
      </w:r>
      <w:r w:rsidR="00637B8C" w:rsidRPr="00B42714">
        <w:rPr>
          <w:b/>
          <w:caps/>
          <w:sz w:val="20"/>
        </w:rPr>
        <w:t>P</w:t>
      </w:r>
      <w:r w:rsidRPr="00B42714">
        <w:rPr>
          <w:b/>
          <w:caps/>
          <w:sz w:val="20"/>
        </w:rPr>
        <w:t xml:space="preserve">rohibited from </w:t>
      </w:r>
      <w:r w:rsidR="00637B8C" w:rsidRPr="00B42714">
        <w:rPr>
          <w:b/>
          <w:caps/>
          <w:sz w:val="20"/>
        </w:rPr>
        <w:t>Being Notarized Remotely</w:t>
      </w:r>
      <w:bookmarkEnd w:id="12"/>
    </w:p>
    <w:p w:rsidR="00637B8C" w:rsidRPr="00721567" w:rsidRDefault="00CA5AD6" w:rsidP="000F661F">
      <w:pPr>
        <w:widowControl/>
        <w:spacing w:line="360" w:lineRule="auto"/>
        <w:rPr>
          <w:sz w:val="20"/>
        </w:rPr>
      </w:pPr>
      <w:r w:rsidRPr="00721567">
        <w:rPr>
          <w:sz w:val="20"/>
        </w:rPr>
        <w:t>RENA establishes certain documents that an RENP may not notarize remotely.</w:t>
      </w:r>
      <w:r w:rsidRPr="00721567">
        <w:rPr>
          <w:rStyle w:val="FootnoteReference"/>
          <w:sz w:val="20"/>
          <w:vertAlign w:val="superscript"/>
        </w:rPr>
        <w:footnoteReference w:id="77"/>
      </w:r>
      <w:r w:rsidRPr="00721567">
        <w:rPr>
          <w:sz w:val="20"/>
          <w:vertAlign w:val="superscript"/>
        </w:rPr>
        <w:t xml:space="preserve"> </w:t>
      </w:r>
      <w:r w:rsidR="00637B8C" w:rsidRPr="00721567">
        <w:rPr>
          <w:sz w:val="20"/>
          <w:vertAlign w:val="superscript"/>
        </w:rPr>
        <w:t xml:space="preserve"> </w:t>
      </w:r>
      <w:r w:rsidR="00637B8C" w:rsidRPr="00721567">
        <w:rPr>
          <w:sz w:val="20"/>
        </w:rPr>
        <w:t xml:space="preserve">An RENP shall not perform a REN on the following documents:  </w:t>
      </w:r>
    </w:p>
    <w:p w:rsidR="00637B8C" w:rsidRPr="00721567" w:rsidRDefault="006B5E3C" w:rsidP="00651D87">
      <w:pPr>
        <w:widowControl/>
        <w:spacing w:line="360" w:lineRule="auto"/>
        <w:ind w:left="1440" w:hanging="720"/>
        <w:rPr>
          <w:sz w:val="20"/>
        </w:rPr>
      </w:pPr>
      <w:r>
        <w:rPr>
          <w:sz w:val="20"/>
        </w:rPr>
        <w:t>1.  A</w:t>
      </w:r>
      <w:r w:rsidR="00637B8C" w:rsidRPr="00721567">
        <w:rPr>
          <w:sz w:val="20"/>
        </w:rPr>
        <w:t xml:space="preserve"> self-proved will executed pursuant to Article 4A of Chapter 31 of the General Statutes; </w:t>
      </w:r>
    </w:p>
    <w:p w:rsidR="00637B8C" w:rsidRPr="00721567" w:rsidRDefault="00637B8C" w:rsidP="006B5E3C">
      <w:pPr>
        <w:widowControl/>
        <w:spacing w:line="360" w:lineRule="auto"/>
        <w:ind w:left="720"/>
        <w:rPr>
          <w:sz w:val="20"/>
        </w:rPr>
      </w:pPr>
      <w:r w:rsidRPr="00721567">
        <w:rPr>
          <w:sz w:val="20"/>
        </w:rPr>
        <w:t>2</w:t>
      </w:r>
      <w:r w:rsidR="006B5E3C">
        <w:rPr>
          <w:sz w:val="20"/>
        </w:rPr>
        <w:t>.  A</w:t>
      </w:r>
      <w:r w:rsidRPr="00721567">
        <w:rPr>
          <w:sz w:val="20"/>
        </w:rPr>
        <w:t xml:space="preserve"> revocable or irrevocable trust or any other document amending the same, except for certification of trust or similar document; </w:t>
      </w:r>
    </w:p>
    <w:p w:rsidR="00637B8C" w:rsidRPr="00721567" w:rsidRDefault="00637B8C" w:rsidP="00651D87">
      <w:pPr>
        <w:widowControl/>
        <w:spacing w:line="360" w:lineRule="auto"/>
        <w:ind w:left="1440" w:hanging="720"/>
        <w:rPr>
          <w:sz w:val="20"/>
        </w:rPr>
      </w:pPr>
      <w:r w:rsidRPr="00721567">
        <w:rPr>
          <w:sz w:val="20"/>
        </w:rPr>
        <w:t>3</w:t>
      </w:r>
      <w:r w:rsidR="006B5E3C">
        <w:rPr>
          <w:sz w:val="20"/>
        </w:rPr>
        <w:t>.  A</w:t>
      </w:r>
      <w:r w:rsidRPr="00721567">
        <w:rPr>
          <w:sz w:val="20"/>
        </w:rPr>
        <w:t xml:space="preserve"> death beneficiary form that requires an acknowledgment; </w:t>
      </w:r>
    </w:p>
    <w:p w:rsidR="00637B8C" w:rsidRPr="00721567" w:rsidRDefault="006B5E3C" w:rsidP="00651D87">
      <w:pPr>
        <w:widowControl/>
        <w:spacing w:line="360" w:lineRule="auto"/>
        <w:ind w:left="1440" w:hanging="720"/>
        <w:rPr>
          <w:sz w:val="20"/>
        </w:rPr>
      </w:pPr>
      <w:r>
        <w:rPr>
          <w:sz w:val="20"/>
        </w:rPr>
        <w:t>4.  A</w:t>
      </w:r>
      <w:r w:rsidR="00637B8C" w:rsidRPr="00721567">
        <w:rPr>
          <w:sz w:val="20"/>
        </w:rPr>
        <w:t xml:space="preserve"> codicil to a will; </w:t>
      </w:r>
    </w:p>
    <w:p w:rsidR="00637B8C" w:rsidRPr="00721567" w:rsidRDefault="00637B8C" w:rsidP="006B5E3C">
      <w:pPr>
        <w:widowControl/>
        <w:spacing w:line="360" w:lineRule="auto"/>
        <w:ind w:left="720"/>
        <w:rPr>
          <w:sz w:val="20"/>
        </w:rPr>
      </w:pPr>
      <w:r w:rsidRPr="00721567">
        <w:rPr>
          <w:sz w:val="20"/>
        </w:rPr>
        <w:lastRenderedPageBreak/>
        <w:t>5</w:t>
      </w:r>
      <w:r w:rsidR="006B5E3C">
        <w:rPr>
          <w:sz w:val="20"/>
        </w:rPr>
        <w:t>.  A</w:t>
      </w:r>
      <w:r w:rsidRPr="00721567">
        <w:rPr>
          <w:sz w:val="20"/>
        </w:rPr>
        <w:t xml:space="preserve">ny document related to the relinquishment of parental rights under Article 3 of Chapter 48 of the General Statutes; or </w:t>
      </w:r>
    </w:p>
    <w:p w:rsidR="00637B8C" w:rsidRPr="00721567" w:rsidRDefault="00637B8C" w:rsidP="00651D87">
      <w:pPr>
        <w:widowControl/>
        <w:spacing w:line="360" w:lineRule="auto"/>
        <w:ind w:left="1440" w:hanging="720"/>
        <w:rPr>
          <w:sz w:val="20"/>
        </w:rPr>
      </w:pPr>
      <w:r w:rsidRPr="00721567">
        <w:rPr>
          <w:sz w:val="20"/>
        </w:rPr>
        <w:t>6</w:t>
      </w:r>
      <w:r w:rsidR="006B5E3C">
        <w:rPr>
          <w:sz w:val="20"/>
        </w:rPr>
        <w:t>.  A m</w:t>
      </w:r>
      <w:r w:rsidRPr="00721567">
        <w:rPr>
          <w:sz w:val="20"/>
        </w:rPr>
        <w:t>ail-in absentee ballot issued under Article 20 of Chapte</w:t>
      </w:r>
      <w:r w:rsidR="004C6B1E">
        <w:rPr>
          <w:sz w:val="20"/>
        </w:rPr>
        <w:t>r 163 of the General statutes.</w:t>
      </w:r>
      <w:r w:rsidRPr="00721567">
        <w:rPr>
          <w:rStyle w:val="FootnoteReference"/>
          <w:sz w:val="20"/>
          <w:vertAlign w:val="superscript"/>
        </w:rPr>
        <w:footnoteReference w:id="78"/>
      </w:r>
      <w:r w:rsidRPr="00721567">
        <w:rPr>
          <w:sz w:val="20"/>
        </w:rPr>
        <w:t xml:space="preserve"> </w:t>
      </w:r>
    </w:p>
    <w:p w:rsidR="00CF5EDE" w:rsidRDefault="00CF5EDE" w:rsidP="00651D87">
      <w:pPr>
        <w:widowControl/>
        <w:spacing w:line="360" w:lineRule="auto"/>
        <w:rPr>
          <w:sz w:val="20"/>
        </w:rPr>
      </w:pPr>
    </w:p>
    <w:p w:rsidR="00CA5AD6" w:rsidRPr="00721567" w:rsidRDefault="00637B8C" w:rsidP="00651D87">
      <w:pPr>
        <w:widowControl/>
        <w:spacing w:line="360" w:lineRule="auto"/>
        <w:rPr>
          <w:sz w:val="20"/>
        </w:rPr>
      </w:pPr>
      <w:r w:rsidRPr="00721567">
        <w:rPr>
          <w:sz w:val="20"/>
        </w:rPr>
        <w:t>The prohibitions described above do not apply when, at the time the REN is performed, the remotely located principal is outside the United States and physically on the military installation or vessel named in the military orders assigning the member to active duty for more than 120 days, provided the remotely located principal is a member, spouse of a member, or dependent of the member of the Armed Forces of the United States.</w:t>
      </w:r>
      <w:r w:rsidRPr="00721567">
        <w:rPr>
          <w:rStyle w:val="FootnoteReference"/>
          <w:sz w:val="20"/>
          <w:vertAlign w:val="superscript"/>
        </w:rPr>
        <w:footnoteReference w:id="79"/>
      </w:r>
      <w:r w:rsidRPr="00721567">
        <w:rPr>
          <w:rStyle w:val="FootnoteReference"/>
          <w:sz w:val="20"/>
          <w:vertAlign w:val="superscript"/>
        </w:rPr>
        <w:t xml:space="preserve"> </w:t>
      </w:r>
      <w:r w:rsidRPr="00721567">
        <w:rPr>
          <w:sz w:val="20"/>
        </w:rPr>
        <w:t xml:space="preserve"> </w:t>
      </w:r>
    </w:p>
    <w:p w:rsidR="00CF5EDE" w:rsidRDefault="00CF5EDE" w:rsidP="00651D87">
      <w:pPr>
        <w:widowControl/>
        <w:spacing w:line="360" w:lineRule="auto"/>
        <w:rPr>
          <w:b/>
          <w:sz w:val="20"/>
        </w:rPr>
      </w:pPr>
    </w:p>
    <w:p w:rsidR="00CA5AD6" w:rsidRPr="00721567" w:rsidRDefault="00CA5AD6" w:rsidP="00651D87">
      <w:pPr>
        <w:widowControl/>
        <w:spacing w:line="360" w:lineRule="auto"/>
        <w:rPr>
          <w:sz w:val="20"/>
        </w:rPr>
      </w:pPr>
      <w:r w:rsidRPr="00721567">
        <w:rPr>
          <w:b/>
          <w:sz w:val="20"/>
        </w:rPr>
        <w:t>Question L.1:</w:t>
      </w:r>
      <w:r w:rsidR="00623201">
        <w:rPr>
          <w:b/>
          <w:sz w:val="20"/>
        </w:rPr>
        <w:t xml:space="preserve">  </w:t>
      </w:r>
      <w:r w:rsidRPr="00721567">
        <w:rPr>
          <w:sz w:val="20"/>
        </w:rPr>
        <w:t>Should the rules provide for an RENP who is not a lawyer to determine whether a prohibited document has been presented for remote notarization?</w:t>
      </w:r>
    </w:p>
    <w:p w:rsidR="00CA5AD6" w:rsidRPr="00721567" w:rsidRDefault="00CA5AD6" w:rsidP="00651D87">
      <w:pPr>
        <w:widowControl/>
        <w:spacing w:line="360" w:lineRule="auto"/>
        <w:ind w:left="720"/>
        <w:rPr>
          <w:sz w:val="20"/>
        </w:rPr>
      </w:pPr>
      <w:r w:rsidRPr="00721567">
        <w:rPr>
          <w:b/>
          <w:sz w:val="20"/>
        </w:rPr>
        <w:t>Question L.1</w:t>
      </w:r>
      <w:r w:rsidR="00C87F51">
        <w:rPr>
          <w:b/>
          <w:sz w:val="20"/>
        </w:rPr>
        <w:t>.</w:t>
      </w:r>
      <w:r w:rsidRPr="00721567">
        <w:rPr>
          <w:b/>
          <w:sz w:val="20"/>
        </w:rPr>
        <w:t>a:</w:t>
      </w:r>
      <w:r w:rsidR="00C87F51">
        <w:rPr>
          <w:b/>
          <w:sz w:val="20"/>
        </w:rPr>
        <w:t xml:space="preserve">  </w:t>
      </w:r>
      <w:r w:rsidRPr="00721567">
        <w:rPr>
          <w:sz w:val="20"/>
        </w:rPr>
        <w:t xml:space="preserve">If yes, how can the rules accomplish this so that the non-lawyer RENP is not practicing law without a license?  </w:t>
      </w:r>
    </w:p>
    <w:p w:rsidR="00CA5AD6" w:rsidRPr="00721567" w:rsidRDefault="00CA5AD6" w:rsidP="00651D87">
      <w:pPr>
        <w:widowControl/>
        <w:spacing w:line="360" w:lineRule="auto"/>
        <w:rPr>
          <w:sz w:val="20"/>
        </w:rPr>
      </w:pPr>
      <w:r w:rsidRPr="00721567">
        <w:rPr>
          <w:b/>
          <w:sz w:val="20"/>
        </w:rPr>
        <w:t>Question L.2:</w:t>
      </w:r>
      <w:r w:rsidR="00623201">
        <w:rPr>
          <w:b/>
          <w:sz w:val="20"/>
        </w:rPr>
        <w:t xml:space="preserve">  </w:t>
      </w:r>
      <w:r w:rsidRPr="00721567">
        <w:rPr>
          <w:sz w:val="20"/>
        </w:rPr>
        <w:t xml:space="preserve">How should the Agency enforce this prohibition where the RENP is not a lawyer and presumably is not qualified to determine whether a document is in the category of prohibited documents?  </w:t>
      </w:r>
    </w:p>
    <w:p w:rsidR="00CA5AD6" w:rsidRPr="00721567" w:rsidRDefault="00CA5AD6" w:rsidP="00651D87">
      <w:pPr>
        <w:widowControl/>
        <w:spacing w:line="360" w:lineRule="auto"/>
        <w:rPr>
          <w:sz w:val="20"/>
        </w:rPr>
      </w:pPr>
      <w:r w:rsidRPr="00721567">
        <w:rPr>
          <w:b/>
          <w:sz w:val="20"/>
        </w:rPr>
        <w:t>Question L.3:</w:t>
      </w:r>
      <w:r w:rsidR="00623201">
        <w:rPr>
          <w:b/>
          <w:sz w:val="20"/>
        </w:rPr>
        <w:t xml:space="preserve">  </w:t>
      </w:r>
      <w:r w:rsidRPr="00721567">
        <w:rPr>
          <w:sz w:val="20"/>
        </w:rPr>
        <w:t xml:space="preserve">Should the Agency by rule declare the effect of a putative REN on a prohibited document?  For example, is the REN in such circumstances </w:t>
      </w:r>
      <w:r w:rsidRPr="00721567">
        <w:rPr>
          <w:i/>
          <w:sz w:val="20"/>
        </w:rPr>
        <w:t>void ab initio</w:t>
      </w:r>
      <w:r w:rsidRPr="00721567">
        <w:rPr>
          <w:sz w:val="20"/>
        </w:rPr>
        <w:t xml:space="preserve"> (from the beginning)?  Please be specific.</w:t>
      </w:r>
    </w:p>
    <w:p w:rsidR="00CA5AD6" w:rsidRPr="00721567" w:rsidRDefault="00CA5AD6" w:rsidP="00651D87">
      <w:pPr>
        <w:widowControl/>
        <w:spacing w:line="360" w:lineRule="auto"/>
        <w:rPr>
          <w:sz w:val="20"/>
        </w:rPr>
      </w:pPr>
      <w:r w:rsidRPr="00721567">
        <w:rPr>
          <w:b/>
          <w:sz w:val="20"/>
        </w:rPr>
        <w:t>Question L.4</w:t>
      </w:r>
      <w:r w:rsidR="00172534" w:rsidRPr="00C87F51">
        <w:rPr>
          <w:b/>
          <w:sz w:val="20"/>
        </w:rPr>
        <w:t>:</w:t>
      </w:r>
      <w:r w:rsidR="00623201">
        <w:rPr>
          <w:sz w:val="20"/>
        </w:rPr>
        <w:t xml:space="preserve">  </w:t>
      </w:r>
      <w:r w:rsidRPr="00721567">
        <w:rPr>
          <w:sz w:val="20"/>
        </w:rPr>
        <w:t>Should the rules address the need for the RENP and vendors to know if documents are prohibited?  If yes, how?  Be specific.</w:t>
      </w:r>
    </w:p>
    <w:p w:rsidR="00C13256" w:rsidRPr="00721567" w:rsidRDefault="00C13256" w:rsidP="00651D87">
      <w:pPr>
        <w:widowControl/>
        <w:spacing w:line="360" w:lineRule="auto"/>
        <w:rPr>
          <w:sz w:val="20"/>
        </w:rPr>
      </w:pPr>
    </w:p>
    <w:p w:rsidR="00CA5AD6" w:rsidRPr="00721567" w:rsidRDefault="00CA5AD6" w:rsidP="00651D87">
      <w:pPr>
        <w:pStyle w:val="Heading1"/>
        <w:widowControl/>
        <w:spacing w:line="360" w:lineRule="auto"/>
        <w:ind w:left="0"/>
        <w:jc w:val="left"/>
        <w:rPr>
          <w:b/>
          <w:sz w:val="20"/>
        </w:rPr>
      </w:pPr>
      <w:bookmarkStart w:id="13" w:name="_Toc117090626"/>
      <w:r w:rsidRPr="00721567">
        <w:rPr>
          <w:b/>
          <w:sz w:val="20"/>
        </w:rPr>
        <w:t xml:space="preserve">M.  </w:t>
      </w:r>
      <w:r w:rsidR="00172534">
        <w:rPr>
          <w:b/>
          <w:sz w:val="20"/>
        </w:rPr>
        <w:tab/>
      </w:r>
      <w:r w:rsidRPr="00332993">
        <w:rPr>
          <w:b/>
          <w:caps/>
          <w:sz w:val="20"/>
        </w:rPr>
        <w:t>Reasonable Accommodation</w:t>
      </w:r>
      <w:bookmarkEnd w:id="13"/>
      <w:r w:rsidRPr="00721567">
        <w:rPr>
          <w:b/>
          <w:sz w:val="20"/>
        </w:rPr>
        <w:t xml:space="preserve">  </w:t>
      </w:r>
    </w:p>
    <w:p w:rsidR="00CA5AD6" w:rsidRPr="00721567" w:rsidRDefault="00CA5AD6" w:rsidP="00651D87">
      <w:pPr>
        <w:widowControl/>
        <w:spacing w:line="360" w:lineRule="auto"/>
        <w:rPr>
          <w:sz w:val="20"/>
        </w:rPr>
      </w:pPr>
      <w:r w:rsidRPr="00721567">
        <w:rPr>
          <w:sz w:val="20"/>
        </w:rPr>
        <w:t>RENA requires that the communication technolog</w:t>
      </w:r>
      <w:r w:rsidR="004C6B1E">
        <w:rPr>
          <w:sz w:val="20"/>
        </w:rPr>
        <w:t>y make reasonable accommodation</w:t>
      </w:r>
      <w:r w:rsidRPr="00721567">
        <w:rPr>
          <w:sz w:val="20"/>
        </w:rPr>
        <w:t xml:space="preserve"> for remotely located principals with vision, hearing, or speech impairments.</w:t>
      </w:r>
      <w:r w:rsidRPr="00721567">
        <w:rPr>
          <w:sz w:val="20"/>
          <w:vertAlign w:val="superscript"/>
        </w:rPr>
        <w:footnoteReference w:id="80"/>
      </w:r>
      <w:r w:rsidRPr="00721567">
        <w:rPr>
          <w:sz w:val="20"/>
          <w:vertAlign w:val="superscript"/>
        </w:rPr>
        <w:t xml:space="preserve"> </w:t>
      </w:r>
      <w:r w:rsidRPr="00721567">
        <w:rPr>
          <w:sz w:val="20"/>
        </w:rPr>
        <w:t xml:space="preserve"> “Reasonable accommodation” is a term of art defined in North Carolina law and addressed in federal law.</w:t>
      </w:r>
      <w:r w:rsidRPr="00721567">
        <w:rPr>
          <w:rStyle w:val="FootnoteReference"/>
          <w:sz w:val="20"/>
          <w:vertAlign w:val="superscript"/>
        </w:rPr>
        <w:footnoteReference w:id="81"/>
      </w:r>
      <w:r w:rsidRPr="00721567">
        <w:rPr>
          <w:sz w:val="20"/>
        </w:rPr>
        <w:t xml:space="preserve">  The Agency is unaware of any federal rules clarifying the reasonable accommodation standards with regard to software and technology.</w:t>
      </w:r>
    </w:p>
    <w:p w:rsidR="00CF5EDE" w:rsidRDefault="00CF5EDE" w:rsidP="00651D87">
      <w:pPr>
        <w:widowControl/>
        <w:spacing w:line="360" w:lineRule="auto"/>
        <w:rPr>
          <w:b/>
          <w:sz w:val="20"/>
        </w:rPr>
      </w:pPr>
    </w:p>
    <w:p w:rsidR="00CA5AD6" w:rsidRPr="00721567" w:rsidRDefault="00CA5AD6" w:rsidP="00651D87">
      <w:pPr>
        <w:widowControl/>
        <w:spacing w:line="360" w:lineRule="auto"/>
        <w:rPr>
          <w:sz w:val="20"/>
        </w:rPr>
      </w:pPr>
      <w:r w:rsidRPr="00721567">
        <w:rPr>
          <w:b/>
          <w:sz w:val="20"/>
        </w:rPr>
        <w:t>Question M.1:</w:t>
      </w:r>
      <w:r w:rsidR="00C87F51">
        <w:rPr>
          <w:b/>
          <w:sz w:val="20"/>
        </w:rPr>
        <w:t xml:space="preserve">  </w:t>
      </w:r>
      <w:r w:rsidRPr="00721567">
        <w:rPr>
          <w:sz w:val="20"/>
        </w:rPr>
        <w:t>What requirements for reasonable accommodation should the rules require to be incorporated into the platforms licensed by the Secretary?</w:t>
      </w:r>
      <w:r w:rsidRPr="00721567">
        <w:rPr>
          <w:sz w:val="20"/>
          <w:vertAlign w:val="superscript"/>
        </w:rPr>
        <w:footnoteReference w:id="82"/>
      </w:r>
      <w:r w:rsidRPr="00721567">
        <w:rPr>
          <w:sz w:val="20"/>
          <w:vertAlign w:val="superscript"/>
        </w:rPr>
        <w:t xml:space="preserve"> </w:t>
      </w:r>
    </w:p>
    <w:p w:rsidR="00CA5AD6" w:rsidRPr="00721567" w:rsidRDefault="00CA5AD6" w:rsidP="00651D87">
      <w:pPr>
        <w:widowControl/>
        <w:spacing w:line="360" w:lineRule="auto"/>
        <w:rPr>
          <w:sz w:val="20"/>
        </w:rPr>
      </w:pPr>
      <w:r w:rsidRPr="00721567">
        <w:rPr>
          <w:b/>
          <w:sz w:val="20"/>
        </w:rPr>
        <w:t>Question M.2:</w:t>
      </w:r>
      <w:r w:rsidR="00C87F51">
        <w:rPr>
          <w:b/>
          <w:sz w:val="20"/>
        </w:rPr>
        <w:t xml:space="preserve">  </w:t>
      </w:r>
      <w:r w:rsidRPr="00721567">
        <w:rPr>
          <w:sz w:val="20"/>
        </w:rPr>
        <w:t xml:space="preserve">Are there generally accepted industry standards or federal rules to which the Secretary may refer?  </w:t>
      </w:r>
    </w:p>
    <w:p w:rsidR="00CA5AD6" w:rsidRPr="00721567" w:rsidRDefault="00CA5AD6" w:rsidP="00651D87">
      <w:pPr>
        <w:widowControl/>
        <w:spacing w:line="360" w:lineRule="auto"/>
        <w:rPr>
          <w:sz w:val="20"/>
        </w:rPr>
      </w:pPr>
      <w:r w:rsidRPr="00721567">
        <w:rPr>
          <w:b/>
          <w:sz w:val="20"/>
        </w:rPr>
        <w:t>Question M.3:</w:t>
      </w:r>
      <w:r w:rsidR="00C87F51">
        <w:rPr>
          <w:b/>
          <w:sz w:val="20"/>
        </w:rPr>
        <w:t xml:space="preserve">  </w:t>
      </w:r>
      <w:r w:rsidRPr="00721567">
        <w:rPr>
          <w:sz w:val="20"/>
        </w:rPr>
        <w:t xml:space="preserve">Should the rules require the RENP to make any reasonable accommodations in addition to those incorporated by the third party vendors? </w:t>
      </w:r>
    </w:p>
    <w:p w:rsidR="00CA5AD6" w:rsidRPr="00721567" w:rsidRDefault="00CA5AD6" w:rsidP="00651D87">
      <w:pPr>
        <w:widowControl/>
        <w:spacing w:line="360" w:lineRule="auto"/>
        <w:ind w:left="720"/>
        <w:rPr>
          <w:sz w:val="20"/>
        </w:rPr>
      </w:pPr>
      <w:r w:rsidRPr="00721567">
        <w:rPr>
          <w:b/>
          <w:sz w:val="20"/>
        </w:rPr>
        <w:t>Question M.3</w:t>
      </w:r>
      <w:r w:rsidR="00C87F51">
        <w:rPr>
          <w:b/>
          <w:sz w:val="20"/>
        </w:rPr>
        <w:t>.</w:t>
      </w:r>
      <w:r w:rsidRPr="00721567">
        <w:rPr>
          <w:b/>
          <w:sz w:val="20"/>
        </w:rPr>
        <w:t>a:</w:t>
      </w:r>
      <w:r w:rsidR="00C87F51">
        <w:rPr>
          <w:b/>
          <w:sz w:val="20"/>
        </w:rPr>
        <w:t xml:space="preserve">  </w:t>
      </w:r>
      <w:r w:rsidRPr="00721567">
        <w:rPr>
          <w:sz w:val="20"/>
        </w:rPr>
        <w:t>If yes, what additional reasonable accommodations should the rules require the RENP to make?</w:t>
      </w:r>
    </w:p>
    <w:p w:rsidR="00CA5AD6" w:rsidRPr="00721567" w:rsidRDefault="00CA5AD6" w:rsidP="00651D87">
      <w:pPr>
        <w:widowControl/>
        <w:spacing w:line="360" w:lineRule="auto"/>
        <w:rPr>
          <w:sz w:val="20"/>
        </w:rPr>
      </w:pPr>
      <w:r w:rsidRPr="00721567">
        <w:rPr>
          <w:b/>
          <w:sz w:val="20"/>
        </w:rPr>
        <w:lastRenderedPageBreak/>
        <w:t>Question M.4:</w:t>
      </w:r>
      <w:r w:rsidR="00C87F51">
        <w:rPr>
          <w:b/>
          <w:sz w:val="20"/>
        </w:rPr>
        <w:t xml:space="preserve">  </w:t>
      </w:r>
      <w:r w:rsidRPr="00721567">
        <w:rPr>
          <w:sz w:val="20"/>
        </w:rPr>
        <w:t xml:space="preserve">Should the rules require the RENP to ask the remotely located principal about the need for reasonable accommodation?  </w:t>
      </w:r>
    </w:p>
    <w:p w:rsidR="00CA5AD6" w:rsidRPr="00721567" w:rsidRDefault="00CA5AD6" w:rsidP="00651D87">
      <w:pPr>
        <w:widowControl/>
        <w:spacing w:line="360" w:lineRule="auto"/>
        <w:ind w:left="720"/>
        <w:rPr>
          <w:sz w:val="20"/>
        </w:rPr>
      </w:pPr>
      <w:r w:rsidRPr="00721567">
        <w:rPr>
          <w:b/>
          <w:sz w:val="20"/>
        </w:rPr>
        <w:t>Question M.4</w:t>
      </w:r>
      <w:r w:rsidR="00C87F51">
        <w:rPr>
          <w:b/>
          <w:sz w:val="20"/>
        </w:rPr>
        <w:t>.</w:t>
      </w:r>
      <w:r w:rsidRPr="00721567">
        <w:rPr>
          <w:b/>
          <w:sz w:val="20"/>
        </w:rPr>
        <w:t>a:</w:t>
      </w:r>
      <w:r w:rsidR="00C87F51">
        <w:rPr>
          <w:b/>
          <w:sz w:val="20"/>
        </w:rPr>
        <w:t xml:space="preserve">  </w:t>
      </w:r>
      <w:r w:rsidR="00C87F51" w:rsidRPr="00F05981">
        <w:rPr>
          <w:sz w:val="20"/>
        </w:rPr>
        <w:t>I</w:t>
      </w:r>
      <w:r w:rsidRPr="00721567">
        <w:rPr>
          <w:sz w:val="20"/>
        </w:rPr>
        <w:t>f yes, should the RENP document the question and remotely located principal’s response?  How and where?</w:t>
      </w:r>
    </w:p>
    <w:p w:rsidR="00E76E9C" w:rsidRPr="00721567" w:rsidRDefault="00E76E9C" w:rsidP="00651D87">
      <w:pPr>
        <w:widowControl/>
        <w:spacing w:line="360" w:lineRule="auto"/>
        <w:ind w:left="540"/>
        <w:rPr>
          <w:sz w:val="20"/>
        </w:rPr>
      </w:pPr>
    </w:p>
    <w:p w:rsidR="00CA5AD6" w:rsidRPr="00721567" w:rsidRDefault="00CA5AD6" w:rsidP="00651D87">
      <w:pPr>
        <w:widowControl/>
        <w:spacing w:line="360" w:lineRule="auto"/>
        <w:rPr>
          <w:sz w:val="20"/>
        </w:rPr>
      </w:pPr>
      <w:r w:rsidRPr="00721567">
        <w:rPr>
          <w:sz w:val="20"/>
        </w:rPr>
        <w:t>RENA prohibits inclusion of pre-recorded audio and video in the communications technology.</w:t>
      </w:r>
      <w:r w:rsidRPr="00721567">
        <w:rPr>
          <w:sz w:val="20"/>
          <w:vertAlign w:val="superscript"/>
        </w:rPr>
        <w:footnoteReference w:id="83"/>
      </w:r>
    </w:p>
    <w:p w:rsidR="00CF5EDE" w:rsidRDefault="00CF5EDE" w:rsidP="00651D87">
      <w:pPr>
        <w:widowControl/>
        <w:spacing w:line="360" w:lineRule="auto"/>
        <w:rPr>
          <w:b/>
          <w:sz w:val="20"/>
        </w:rPr>
      </w:pPr>
    </w:p>
    <w:p w:rsidR="00CA5AD6" w:rsidRPr="00721567" w:rsidRDefault="00CA5AD6" w:rsidP="00651D87">
      <w:pPr>
        <w:widowControl/>
        <w:spacing w:line="360" w:lineRule="auto"/>
        <w:rPr>
          <w:sz w:val="20"/>
        </w:rPr>
      </w:pPr>
      <w:r w:rsidRPr="00721567">
        <w:rPr>
          <w:b/>
          <w:sz w:val="20"/>
        </w:rPr>
        <w:t>Question M.5:</w:t>
      </w:r>
      <w:r w:rsidR="00623201">
        <w:rPr>
          <w:b/>
          <w:sz w:val="20"/>
        </w:rPr>
        <w:t xml:space="preserve">  </w:t>
      </w:r>
      <w:r w:rsidRPr="00721567">
        <w:rPr>
          <w:sz w:val="20"/>
        </w:rPr>
        <w:t xml:space="preserve">Does this </w:t>
      </w:r>
      <w:r w:rsidR="00472832" w:rsidRPr="00721567">
        <w:rPr>
          <w:sz w:val="20"/>
        </w:rPr>
        <w:t xml:space="preserve">prohibition on pre-recorded audio and video </w:t>
      </w:r>
      <w:r w:rsidRPr="00721567">
        <w:rPr>
          <w:sz w:val="20"/>
        </w:rPr>
        <w:t xml:space="preserve">pose any issues that need to be addressed in the rules with regard to making reasonable accommodations for those with visual, hearing, or speech impediments?  </w:t>
      </w:r>
    </w:p>
    <w:p w:rsidR="00CA5AD6" w:rsidRPr="00721567" w:rsidRDefault="00CA5AD6" w:rsidP="00651D87">
      <w:pPr>
        <w:widowControl/>
        <w:spacing w:line="360" w:lineRule="auto"/>
        <w:ind w:left="720"/>
        <w:rPr>
          <w:sz w:val="20"/>
        </w:rPr>
      </w:pPr>
      <w:r w:rsidRPr="00721567">
        <w:rPr>
          <w:b/>
          <w:sz w:val="20"/>
        </w:rPr>
        <w:t>Question M.5</w:t>
      </w:r>
      <w:r w:rsidR="00C87F51">
        <w:rPr>
          <w:b/>
          <w:sz w:val="20"/>
        </w:rPr>
        <w:t>.</w:t>
      </w:r>
      <w:r w:rsidRPr="00721567">
        <w:rPr>
          <w:b/>
          <w:sz w:val="20"/>
        </w:rPr>
        <w:t>a:</w:t>
      </w:r>
      <w:r w:rsidR="00C87F51">
        <w:rPr>
          <w:b/>
          <w:sz w:val="20"/>
        </w:rPr>
        <w:t xml:space="preserve">  </w:t>
      </w:r>
      <w:r w:rsidRPr="00721567">
        <w:rPr>
          <w:sz w:val="20"/>
        </w:rPr>
        <w:t>If so, what are the issues?  Please be specific.</w:t>
      </w:r>
    </w:p>
    <w:p w:rsidR="00CA5AD6" w:rsidRPr="00721567" w:rsidRDefault="00CA5AD6" w:rsidP="00651D87">
      <w:pPr>
        <w:widowControl/>
        <w:spacing w:line="360" w:lineRule="auto"/>
        <w:ind w:left="720"/>
        <w:rPr>
          <w:sz w:val="20"/>
        </w:rPr>
      </w:pPr>
      <w:r w:rsidRPr="00721567">
        <w:rPr>
          <w:b/>
          <w:sz w:val="20"/>
        </w:rPr>
        <w:t>Question M.5</w:t>
      </w:r>
      <w:r w:rsidR="00C87F51">
        <w:rPr>
          <w:b/>
          <w:sz w:val="20"/>
        </w:rPr>
        <w:t>.</w:t>
      </w:r>
      <w:r w:rsidRPr="00721567">
        <w:rPr>
          <w:b/>
          <w:sz w:val="20"/>
        </w:rPr>
        <w:t>b:</w:t>
      </w:r>
      <w:r w:rsidR="00C87F51">
        <w:rPr>
          <w:b/>
          <w:sz w:val="20"/>
        </w:rPr>
        <w:t xml:space="preserve">  </w:t>
      </w:r>
      <w:r w:rsidRPr="00721567">
        <w:rPr>
          <w:sz w:val="20"/>
        </w:rPr>
        <w:t>How should the rules address such issues?  Please be specific.</w:t>
      </w:r>
    </w:p>
    <w:p w:rsidR="00CA5AD6" w:rsidRPr="00721567" w:rsidRDefault="00CA5AD6" w:rsidP="00651D87">
      <w:pPr>
        <w:widowControl/>
        <w:spacing w:line="360" w:lineRule="auto"/>
        <w:rPr>
          <w:sz w:val="20"/>
        </w:rPr>
      </w:pPr>
      <w:r w:rsidRPr="00721567">
        <w:rPr>
          <w:b/>
          <w:sz w:val="20"/>
        </w:rPr>
        <w:t>Question M.6:</w:t>
      </w:r>
      <w:r w:rsidR="00623201">
        <w:rPr>
          <w:b/>
          <w:sz w:val="20"/>
        </w:rPr>
        <w:t xml:space="preserve">  </w:t>
      </w:r>
      <w:r w:rsidRPr="00721567">
        <w:rPr>
          <w:sz w:val="20"/>
        </w:rPr>
        <w:t xml:space="preserve">Are there other issues the Agency should consider in order to ensure that the rules support reasonable accommodation and provide clear direction to all parties to the REN?  </w:t>
      </w:r>
    </w:p>
    <w:p w:rsidR="00C13256" w:rsidRPr="00721567" w:rsidRDefault="00C13256" w:rsidP="00651D87">
      <w:pPr>
        <w:widowControl/>
        <w:spacing w:line="360" w:lineRule="auto"/>
        <w:rPr>
          <w:sz w:val="20"/>
        </w:rPr>
      </w:pPr>
    </w:p>
    <w:p w:rsidR="00CA5AD6" w:rsidRPr="00721567" w:rsidRDefault="00CA5AD6" w:rsidP="00651D87">
      <w:pPr>
        <w:pStyle w:val="Heading1"/>
        <w:widowControl/>
        <w:spacing w:line="360" w:lineRule="auto"/>
        <w:ind w:left="0"/>
        <w:jc w:val="left"/>
        <w:rPr>
          <w:sz w:val="20"/>
        </w:rPr>
      </w:pPr>
      <w:bookmarkStart w:id="14" w:name="_Toc117090627"/>
      <w:r w:rsidRPr="00721567">
        <w:rPr>
          <w:rStyle w:val="Heading1Char"/>
          <w:b/>
          <w:sz w:val="20"/>
        </w:rPr>
        <w:t xml:space="preserve">N.  </w:t>
      </w:r>
      <w:r w:rsidR="00172534">
        <w:rPr>
          <w:rStyle w:val="Heading1Char"/>
          <w:b/>
          <w:sz w:val="20"/>
        </w:rPr>
        <w:tab/>
      </w:r>
      <w:r w:rsidRPr="00332993">
        <w:rPr>
          <w:rStyle w:val="Heading1Char"/>
          <w:b/>
          <w:caps/>
          <w:sz w:val="20"/>
        </w:rPr>
        <w:t>Applicability of other laws</w:t>
      </w:r>
      <w:bookmarkEnd w:id="14"/>
    </w:p>
    <w:p w:rsidR="00CA5AD6" w:rsidRPr="00721567" w:rsidRDefault="00CA5AD6" w:rsidP="00651D87">
      <w:pPr>
        <w:widowControl/>
        <w:spacing w:line="360" w:lineRule="auto"/>
        <w:rPr>
          <w:sz w:val="20"/>
        </w:rPr>
      </w:pPr>
      <w:r w:rsidRPr="00721567">
        <w:rPr>
          <w:sz w:val="20"/>
        </w:rPr>
        <w:t>RENA is one law within a larger network of laws</w:t>
      </w:r>
      <w:r w:rsidR="002347B7" w:rsidRPr="00721567">
        <w:rPr>
          <w:sz w:val="20"/>
        </w:rPr>
        <w:t xml:space="preserve"> designed to</w:t>
      </w:r>
      <w:r w:rsidRPr="00721567">
        <w:rPr>
          <w:sz w:val="20"/>
        </w:rPr>
        <w:t>:  (1) protect the public against fraud; (2) promot</w:t>
      </w:r>
      <w:r w:rsidR="002347B7" w:rsidRPr="00721567">
        <w:rPr>
          <w:sz w:val="20"/>
        </w:rPr>
        <w:t>e</w:t>
      </w:r>
      <w:r w:rsidRPr="00721567">
        <w:rPr>
          <w:sz w:val="20"/>
        </w:rPr>
        <w:t xml:space="preserve"> economic transactions; (3) increas</w:t>
      </w:r>
      <w:r w:rsidR="002347B7" w:rsidRPr="00721567">
        <w:rPr>
          <w:sz w:val="20"/>
        </w:rPr>
        <w:t>e</w:t>
      </w:r>
      <w:r w:rsidRPr="00721567">
        <w:rPr>
          <w:sz w:val="20"/>
        </w:rPr>
        <w:t xml:space="preserve"> public trust through accountability; (4) facilitat</w:t>
      </w:r>
      <w:r w:rsidR="002347B7" w:rsidRPr="00721567">
        <w:rPr>
          <w:sz w:val="20"/>
        </w:rPr>
        <w:t>e</w:t>
      </w:r>
      <w:r w:rsidRPr="00721567">
        <w:rPr>
          <w:sz w:val="20"/>
        </w:rPr>
        <w:t xml:space="preserve"> transparency in governmental activities; and (5) support the rule of law.  Such other laws relating to confidentiality, privacy and the security of personal information include, but are not limited to those listed below.</w:t>
      </w:r>
    </w:p>
    <w:p w:rsidR="00F42DBD" w:rsidRDefault="00F42DBD" w:rsidP="00651D87">
      <w:pPr>
        <w:widowControl/>
        <w:spacing w:line="360" w:lineRule="auto"/>
        <w:rPr>
          <w:b/>
          <w:sz w:val="20"/>
        </w:rPr>
      </w:pPr>
    </w:p>
    <w:p w:rsidR="00CA5AD6" w:rsidRPr="00721567" w:rsidRDefault="00CA5AD6" w:rsidP="00651D87">
      <w:pPr>
        <w:widowControl/>
        <w:spacing w:line="360" w:lineRule="auto"/>
        <w:rPr>
          <w:sz w:val="20"/>
        </w:rPr>
      </w:pPr>
      <w:r w:rsidRPr="00721567">
        <w:rPr>
          <w:b/>
          <w:sz w:val="20"/>
        </w:rPr>
        <w:t xml:space="preserve">Question </w:t>
      </w:r>
      <w:r w:rsidRPr="00721567">
        <w:rPr>
          <w:rStyle w:val="Heading1Char"/>
          <w:b/>
          <w:sz w:val="20"/>
        </w:rPr>
        <w:t>N</w:t>
      </w:r>
      <w:r w:rsidRPr="00721567">
        <w:rPr>
          <w:b/>
          <w:sz w:val="20"/>
        </w:rPr>
        <w:t>.1:</w:t>
      </w:r>
      <w:r w:rsidR="00623201">
        <w:rPr>
          <w:b/>
          <w:sz w:val="20"/>
        </w:rPr>
        <w:t xml:space="preserve">  </w:t>
      </w:r>
      <w:r w:rsidRPr="00721567">
        <w:rPr>
          <w:sz w:val="20"/>
        </w:rPr>
        <w:t>Please identify any other statutes (federal or state) that the Agency should consider while preparing rules to implement RENA.</w:t>
      </w:r>
    </w:p>
    <w:p w:rsidR="00CA5AD6" w:rsidRPr="00721567" w:rsidRDefault="00CA5AD6" w:rsidP="00651D87">
      <w:pPr>
        <w:widowControl/>
        <w:spacing w:line="360" w:lineRule="auto"/>
        <w:rPr>
          <w:sz w:val="20"/>
        </w:rPr>
      </w:pPr>
      <w:r w:rsidRPr="00721567">
        <w:rPr>
          <w:b/>
          <w:sz w:val="20"/>
        </w:rPr>
        <w:t xml:space="preserve">Question </w:t>
      </w:r>
      <w:r w:rsidRPr="00721567">
        <w:rPr>
          <w:rStyle w:val="Heading1Char"/>
          <w:b/>
          <w:sz w:val="20"/>
        </w:rPr>
        <w:t>N</w:t>
      </w:r>
      <w:r w:rsidRPr="00721567">
        <w:rPr>
          <w:b/>
          <w:sz w:val="20"/>
        </w:rPr>
        <w:t>.2:</w:t>
      </w:r>
      <w:r w:rsidR="00623201">
        <w:rPr>
          <w:b/>
          <w:sz w:val="20"/>
        </w:rPr>
        <w:t xml:space="preserve">  </w:t>
      </w:r>
      <w:r w:rsidRPr="00721567">
        <w:rPr>
          <w:sz w:val="20"/>
        </w:rPr>
        <w:t>If you believe the Agency does not need to consider the effect of these or any other law while preparing implementing rules, please explain.  Provide the legal basis for your conclusion.</w:t>
      </w:r>
    </w:p>
    <w:p w:rsidR="00CA5AD6" w:rsidRPr="00721567" w:rsidRDefault="00CA5AD6" w:rsidP="00651D87">
      <w:pPr>
        <w:widowControl/>
        <w:spacing w:line="360" w:lineRule="auto"/>
        <w:rPr>
          <w:sz w:val="20"/>
        </w:rPr>
      </w:pPr>
      <w:r w:rsidRPr="00721567">
        <w:rPr>
          <w:b/>
          <w:sz w:val="20"/>
        </w:rPr>
        <w:t xml:space="preserve">Question </w:t>
      </w:r>
      <w:r w:rsidRPr="00721567">
        <w:rPr>
          <w:rStyle w:val="Heading1Char"/>
          <w:b/>
          <w:sz w:val="20"/>
        </w:rPr>
        <w:t>N</w:t>
      </w:r>
      <w:r w:rsidRPr="00721567">
        <w:rPr>
          <w:b/>
          <w:sz w:val="20"/>
        </w:rPr>
        <w:t>.3:</w:t>
      </w:r>
      <w:r w:rsidR="00623201">
        <w:rPr>
          <w:b/>
          <w:sz w:val="20"/>
        </w:rPr>
        <w:t xml:space="preserve">  </w:t>
      </w:r>
      <w:r w:rsidRPr="00721567">
        <w:rPr>
          <w:sz w:val="20"/>
        </w:rPr>
        <w:t>If you believe the Agency should consider the effect of these or other laws while preparing implementing rules, please provide your analysis with regard to the specific considerations the Agency must make.  Please link your analysis to the specific laws you believe the Agency should take into consideration.</w:t>
      </w:r>
    </w:p>
    <w:p w:rsidR="00C87F51" w:rsidRDefault="00C87F51" w:rsidP="00651D87">
      <w:pPr>
        <w:widowControl/>
        <w:spacing w:line="360" w:lineRule="auto"/>
        <w:rPr>
          <w:b/>
          <w:sz w:val="20"/>
        </w:rPr>
      </w:pPr>
    </w:p>
    <w:p w:rsidR="00CA5AD6" w:rsidRPr="00721567" w:rsidRDefault="00CA5AD6" w:rsidP="00651D87">
      <w:pPr>
        <w:widowControl/>
        <w:spacing w:line="360" w:lineRule="auto"/>
        <w:rPr>
          <w:b/>
          <w:sz w:val="20"/>
        </w:rPr>
      </w:pPr>
      <w:r w:rsidRPr="00721567">
        <w:rPr>
          <w:b/>
          <w:sz w:val="20"/>
        </w:rPr>
        <w:t>North Carolina Laws</w:t>
      </w:r>
    </w:p>
    <w:p w:rsidR="00CA5AD6" w:rsidRPr="00721567" w:rsidRDefault="00CA5AD6" w:rsidP="00651D87">
      <w:pPr>
        <w:widowControl/>
        <w:spacing w:line="360" w:lineRule="auto"/>
        <w:rPr>
          <w:sz w:val="20"/>
        </w:rPr>
      </w:pPr>
      <w:r w:rsidRPr="00721567">
        <w:rPr>
          <w:sz w:val="20"/>
        </w:rPr>
        <w:t xml:space="preserve">Electronic Commerce in Government, </w:t>
      </w:r>
      <w:r w:rsidR="0030611C">
        <w:rPr>
          <w:sz w:val="20"/>
        </w:rPr>
        <w:t>G.S.</w:t>
      </w:r>
      <w:r w:rsidRPr="00721567">
        <w:rPr>
          <w:sz w:val="20"/>
        </w:rPr>
        <w:t xml:space="preserve"> Chapter 66, Article 11A </w:t>
      </w:r>
    </w:p>
    <w:p w:rsidR="00CA5AD6" w:rsidRPr="00721567" w:rsidRDefault="00CA5AD6" w:rsidP="00651D87">
      <w:pPr>
        <w:widowControl/>
        <w:spacing w:line="360" w:lineRule="auto"/>
        <w:rPr>
          <w:sz w:val="20"/>
        </w:rPr>
      </w:pPr>
      <w:r w:rsidRPr="00721567">
        <w:rPr>
          <w:sz w:val="20"/>
        </w:rPr>
        <w:t xml:space="preserve">Financial Privacy Act, </w:t>
      </w:r>
      <w:r w:rsidR="0030611C">
        <w:rPr>
          <w:sz w:val="20"/>
        </w:rPr>
        <w:t>G.S.</w:t>
      </w:r>
      <w:r w:rsidRPr="00721567">
        <w:rPr>
          <w:sz w:val="20"/>
        </w:rPr>
        <w:t xml:space="preserve"> Chapter 53B</w:t>
      </w:r>
    </w:p>
    <w:p w:rsidR="00CA5AD6" w:rsidRPr="00721567" w:rsidRDefault="00CA5AD6" w:rsidP="00651D87">
      <w:pPr>
        <w:widowControl/>
        <w:spacing w:line="360" w:lineRule="auto"/>
        <w:rPr>
          <w:sz w:val="20"/>
        </w:rPr>
      </w:pPr>
      <w:r w:rsidRPr="00721567">
        <w:rPr>
          <w:sz w:val="20"/>
        </w:rPr>
        <w:t xml:space="preserve">Public Records Act, </w:t>
      </w:r>
      <w:r w:rsidR="0030611C">
        <w:rPr>
          <w:sz w:val="20"/>
        </w:rPr>
        <w:t>G.S.</w:t>
      </w:r>
      <w:r w:rsidRPr="00721567">
        <w:rPr>
          <w:sz w:val="20"/>
        </w:rPr>
        <w:t xml:space="preserve"> Chapter 132</w:t>
      </w:r>
    </w:p>
    <w:p w:rsidR="00CA5AD6" w:rsidRPr="00721567" w:rsidRDefault="00CA5AD6" w:rsidP="00651D87">
      <w:pPr>
        <w:widowControl/>
        <w:spacing w:line="360" w:lineRule="auto"/>
        <w:rPr>
          <w:sz w:val="20"/>
        </w:rPr>
      </w:pPr>
      <w:r w:rsidRPr="00721567">
        <w:rPr>
          <w:sz w:val="20"/>
        </w:rPr>
        <w:t xml:space="preserve">Revised Uniform Fiduciary Access to Digital Assets Act, </w:t>
      </w:r>
      <w:r w:rsidR="0030611C">
        <w:rPr>
          <w:sz w:val="20"/>
        </w:rPr>
        <w:t>G.S.</w:t>
      </w:r>
      <w:r w:rsidRPr="00721567">
        <w:rPr>
          <w:sz w:val="20"/>
        </w:rPr>
        <w:t xml:space="preserve"> Chapter 36F</w:t>
      </w:r>
    </w:p>
    <w:p w:rsidR="00CA5AD6" w:rsidRPr="00721567" w:rsidRDefault="001255D3" w:rsidP="00651D87">
      <w:pPr>
        <w:widowControl/>
        <w:spacing w:line="360" w:lineRule="auto"/>
        <w:rPr>
          <w:sz w:val="20"/>
        </w:rPr>
      </w:pPr>
      <w:r>
        <w:rPr>
          <w:sz w:val="20"/>
        </w:rPr>
        <w:t>Trade Secrets Protection</w:t>
      </w:r>
      <w:r w:rsidR="00CA5AD6" w:rsidRPr="00721567">
        <w:rPr>
          <w:sz w:val="20"/>
        </w:rPr>
        <w:t xml:space="preserve"> Act, </w:t>
      </w:r>
      <w:r w:rsidR="0030611C">
        <w:rPr>
          <w:sz w:val="20"/>
        </w:rPr>
        <w:t>G.S.</w:t>
      </w:r>
      <w:r w:rsidR="00CA5AD6" w:rsidRPr="00721567">
        <w:rPr>
          <w:sz w:val="20"/>
        </w:rPr>
        <w:t xml:space="preserve"> Chapter 66, Article 24</w:t>
      </w:r>
    </w:p>
    <w:p w:rsidR="00CA5AD6" w:rsidRDefault="00CA5AD6" w:rsidP="00651D87">
      <w:pPr>
        <w:widowControl/>
        <w:spacing w:line="360" w:lineRule="auto"/>
        <w:rPr>
          <w:sz w:val="20"/>
        </w:rPr>
      </w:pPr>
    </w:p>
    <w:p w:rsidR="004465B1" w:rsidRPr="00721567" w:rsidRDefault="004465B1" w:rsidP="00651D87">
      <w:pPr>
        <w:widowControl/>
        <w:spacing w:line="360" w:lineRule="auto"/>
        <w:rPr>
          <w:sz w:val="20"/>
        </w:rPr>
      </w:pPr>
    </w:p>
    <w:p w:rsidR="00CA5AD6" w:rsidRPr="00721567" w:rsidRDefault="00CA5AD6" w:rsidP="00651D87">
      <w:pPr>
        <w:widowControl/>
        <w:spacing w:line="360" w:lineRule="auto"/>
        <w:rPr>
          <w:b/>
          <w:sz w:val="20"/>
        </w:rPr>
      </w:pPr>
      <w:r w:rsidRPr="00721567">
        <w:rPr>
          <w:b/>
          <w:sz w:val="20"/>
        </w:rPr>
        <w:lastRenderedPageBreak/>
        <w:t>United States Laws</w:t>
      </w:r>
    </w:p>
    <w:p w:rsidR="00CA5AD6" w:rsidRPr="00721567" w:rsidRDefault="00CA5AD6" w:rsidP="00651D87">
      <w:pPr>
        <w:widowControl/>
        <w:spacing w:line="360" w:lineRule="auto"/>
        <w:rPr>
          <w:sz w:val="20"/>
        </w:rPr>
      </w:pPr>
      <w:r w:rsidRPr="00721567">
        <w:rPr>
          <w:sz w:val="20"/>
        </w:rPr>
        <w:t>Children</w:t>
      </w:r>
      <w:r w:rsidR="00E86B13" w:rsidRPr="00721567">
        <w:rPr>
          <w:sz w:val="20"/>
        </w:rPr>
        <w:t>’</w:t>
      </w:r>
      <w:r w:rsidRPr="00721567">
        <w:rPr>
          <w:sz w:val="20"/>
        </w:rPr>
        <w:t>s Online Privacy Protection Act of 1998 (COPPA), 15 U.S.C. 6501–6505</w:t>
      </w:r>
    </w:p>
    <w:p w:rsidR="00CA5AD6" w:rsidRPr="00721567" w:rsidRDefault="00CA5AD6" w:rsidP="00651D87">
      <w:pPr>
        <w:widowControl/>
        <w:spacing w:line="360" w:lineRule="auto"/>
        <w:rPr>
          <w:sz w:val="20"/>
        </w:rPr>
      </w:pPr>
      <w:r w:rsidRPr="00721567">
        <w:rPr>
          <w:sz w:val="20"/>
        </w:rPr>
        <w:t xml:space="preserve">Drivers Privacy Protection Act (DPPA), 18 U.S.C. 2721, </w:t>
      </w:r>
      <w:r w:rsidRPr="004465B1">
        <w:rPr>
          <w:i/>
          <w:sz w:val="20"/>
        </w:rPr>
        <w:t>et seq</w:t>
      </w:r>
      <w:r w:rsidRPr="00721567">
        <w:rPr>
          <w:sz w:val="20"/>
        </w:rPr>
        <w:t>.</w:t>
      </w:r>
    </w:p>
    <w:p w:rsidR="00CA5AD6" w:rsidRPr="00721567" w:rsidRDefault="00CA5AD6" w:rsidP="00651D87">
      <w:pPr>
        <w:widowControl/>
        <w:spacing w:line="360" w:lineRule="auto"/>
        <w:rPr>
          <w:sz w:val="20"/>
        </w:rPr>
      </w:pPr>
      <w:r w:rsidRPr="00721567">
        <w:rPr>
          <w:sz w:val="20"/>
        </w:rPr>
        <w:t>Electronic Communications Privacy Act (ECPA)</w:t>
      </w:r>
      <w:r w:rsidR="001255D3">
        <w:rPr>
          <w:sz w:val="20"/>
        </w:rPr>
        <w:t>,</w:t>
      </w:r>
      <w:r w:rsidRPr="00721567">
        <w:rPr>
          <w:sz w:val="20"/>
        </w:rPr>
        <w:t xml:space="preserve"> 18 U.S.C. 2510-2523</w:t>
      </w:r>
    </w:p>
    <w:p w:rsidR="00CA5AD6" w:rsidRPr="00721567" w:rsidRDefault="00CA5AD6" w:rsidP="00651D87">
      <w:pPr>
        <w:widowControl/>
        <w:spacing w:line="360" w:lineRule="auto"/>
        <w:rPr>
          <w:sz w:val="20"/>
        </w:rPr>
      </w:pPr>
      <w:r w:rsidRPr="00721567">
        <w:rPr>
          <w:sz w:val="20"/>
        </w:rPr>
        <w:t>Fair and Accurate Credit Transactions Act (FACTA)</w:t>
      </w:r>
      <w:r w:rsidR="001255D3">
        <w:rPr>
          <w:sz w:val="20"/>
        </w:rPr>
        <w:t>,</w:t>
      </w:r>
      <w:r w:rsidRPr="00721567">
        <w:rPr>
          <w:sz w:val="20"/>
        </w:rPr>
        <w:t xml:space="preserve"> 5 U.S.C. 1681-1681x</w:t>
      </w:r>
    </w:p>
    <w:p w:rsidR="00CA5AD6" w:rsidRPr="00721567" w:rsidRDefault="00CA5AD6" w:rsidP="00651D87">
      <w:pPr>
        <w:widowControl/>
        <w:spacing w:line="360" w:lineRule="auto"/>
        <w:rPr>
          <w:sz w:val="20"/>
        </w:rPr>
      </w:pPr>
      <w:r w:rsidRPr="00721567">
        <w:rPr>
          <w:sz w:val="20"/>
        </w:rPr>
        <w:t xml:space="preserve">Fair Credit Reporting Act (FCRA), </w:t>
      </w:r>
      <w:r w:rsidR="001255D3">
        <w:rPr>
          <w:sz w:val="20"/>
        </w:rPr>
        <w:t>15 U.S.C</w:t>
      </w:r>
      <w:r w:rsidR="009B66DC">
        <w:rPr>
          <w:sz w:val="20"/>
        </w:rPr>
        <w:t>.</w:t>
      </w:r>
      <w:r w:rsidR="001255D3">
        <w:rPr>
          <w:sz w:val="20"/>
        </w:rPr>
        <w:t xml:space="preserve"> </w:t>
      </w:r>
      <w:r w:rsidRPr="00721567">
        <w:rPr>
          <w:sz w:val="20"/>
        </w:rPr>
        <w:t>1681</w:t>
      </w:r>
    </w:p>
    <w:p w:rsidR="00CA5AD6" w:rsidRPr="00721567" w:rsidRDefault="00CA5AD6" w:rsidP="00651D87">
      <w:pPr>
        <w:widowControl/>
        <w:spacing w:line="360" w:lineRule="auto"/>
        <w:rPr>
          <w:sz w:val="20"/>
        </w:rPr>
      </w:pPr>
      <w:r w:rsidRPr="00721567">
        <w:rPr>
          <w:sz w:val="20"/>
        </w:rPr>
        <w:t>Family Education Rights and Privacy Act (FERPA), 20 U.S.C. 1232g</w:t>
      </w:r>
    </w:p>
    <w:p w:rsidR="00CA5AD6" w:rsidRPr="00721567" w:rsidRDefault="00CA5AD6" w:rsidP="00651D87">
      <w:pPr>
        <w:widowControl/>
        <w:spacing w:line="360" w:lineRule="auto"/>
        <w:rPr>
          <w:sz w:val="20"/>
        </w:rPr>
      </w:pPr>
      <w:r w:rsidRPr="00721567">
        <w:rPr>
          <w:sz w:val="20"/>
        </w:rPr>
        <w:t>Federal Trade Commission Act (FTCA), 15 U.S.C. 41-58</w:t>
      </w:r>
    </w:p>
    <w:p w:rsidR="00CA5AD6" w:rsidRPr="00721567" w:rsidRDefault="00CA5AD6" w:rsidP="00651D87">
      <w:pPr>
        <w:widowControl/>
        <w:spacing w:line="360" w:lineRule="auto"/>
        <w:rPr>
          <w:sz w:val="20"/>
        </w:rPr>
      </w:pPr>
      <w:r w:rsidRPr="00721567">
        <w:rPr>
          <w:sz w:val="20"/>
        </w:rPr>
        <w:t xml:space="preserve">Gramm-Leach Bliley Act (GLBA), 15 U.S.C. 6801-6809, 6821-6827 </w:t>
      </w:r>
    </w:p>
    <w:p w:rsidR="00CA5AD6" w:rsidRPr="00721567" w:rsidRDefault="00CA5AD6" w:rsidP="00651D87">
      <w:pPr>
        <w:widowControl/>
        <w:spacing w:line="360" w:lineRule="auto"/>
        <w:rPr>
          <w:sz w:val="20"/>
        </w:rPr>
      </w:pPr>
      <w:r w:rsidRPr="00721567">
        <w:rPr>
          <w:sz w:val="20"/>
        </w:rPr>
        <w:t>Health Insurance Portability and Accountability Act (HIPAA)</w:t>
      </w:r>
      <w:r w:rsidR="001255D3">
        <w:rPr>
          <w:sz w:val="20"/>
        </w:rPr>
        <w:t>,</w:t>
      </w:r>
      <w:r w:rsidRPr="00721567">
        <w:rPr>
          <w:sz w:val="20"/>
        </w:rPr>
        <w:t xml:space="preserve"> 42 U</w:t>
      </w:r>
      <w:r w:rsidR="009B66DC">
        <w:rPr>
          <w:sz w:val="20"/>
        </w:rPr>
        <w:t>.</w:t>
      </w:r>
      <w:r w:rsidRPr="00721567">
        <w:rPr>
          <w:sz w:val="20"/>
        </w:rPr>
        <w:t>S</w:t>
      </w:r>
      <w:r w:rsidR="009B66DC">
        <w:rPr>
          <w:sz w:val="20"/>
        </w:rPr>
        <w:t>.</w:t>
      </w:r>
      <w:r w:rsidRPr="00721567">
        <w:rPr>
          <w:sz w:val="20"/>
        </w:rPr>
        <w:t>C</w:t>
      </w:r>
      <w:r w:rsidR="009B66DC">
        <w:rPr>
          <w:sz w:val="20"/>
        </w:rPr>
        <w:t>.</w:t>
      </w:r>
      <w:r w:rsidRPr="00721567">
        <w:rPr>
          <w:sz w:val="20"/>
        </w:rPr>
        <w:t xml:space="preserve"> 201</w:t>
      </w:r>
    </w:p>
    <w:p w:rsidR="00CA5AD6" w:rsidRPr="00721567" w:rsidRDefault="00CA5AD6" w:rsidP="00651D87">
      <w:pPr>
        <w:widowControl/>
        <w:spacing w:line="360" w:lineRule="auto"/>
        <w:rPr>
          <w:sz w:val="20"/>
        </w:rPr>
      </w:pPr>
      <w:r w:rsidRPr="00721567">
        <w:rPr>
          <w:sz w:val="20"/>
        </w:rPr>
        <w:t>Privacy Act, 5 U.S.C. 552a</w:t>
      </w:r>
    </w:p>
    <w:p w:rsidR="00CA5AD6" w:rsidRPr="00721567" w:rsidRDefault="00CA5AD6" w:rsidP="00651D87">
      <w:pPr>
        <w:widowControl/>
        <w:spacing w:line="360" w:lineRule="auto"/>
        <w:rPr>
          <w:sz w:val="20"/>
        </w:rPr>
      </w:pPr>
      <w:r w:rsidRPr="00721567">
        <w:rPr>
          <w:sz w:val="20"/>
        </w:rPr>
        <w:t xml:space="preserve">Stored Communications Act (SCA) Stored Wire </w:t>
      </w:r>
      <w:r w:rsidR="00E877EF" w:rsidRPr="00721567">
        <w:rPr>
          <w:sz w:val="20"/>
        </w:rPr>
        <w:t>and</w:t>
      </w:r>
      <w:r w:rsidRPr="00721567">
        <w:rPr>
          <w:sz w:val="20"/>
        </w:rPr>
        <w:t xml:space="preserve"> Electronic Communications </w:t>
      </w:r>
      <w:r w:rsidR="00E877EF" w:rsidRPr="00721567">
        <w:rPr>
          <w:sz w:val="20"/>
        </w:rPr>
        <w:t>and</w:t>
      </w:r>
      <w:r w:rsidRPr="00721567">
        <w:rPr>
          <w:sz w:val="20"/>
        </w:rPr>
        <w:t xml:space="preserve"> Transactional Records Access Act (Stored Communications Act or SCA), 18 U.S.C. Chapter 121</w:t>
      </w:r>
    </w:p>
    <w:p w:rsidR="00CA5AD6" w:rsidRPr="00721567" w:rsidRDefault="00CA5AD6" w:rsidP="00651D87">
      <w:pPr>
        <w:widowControl/>
        <w:spacing w:line="360" w:lineRule="auto"/>
        <w:rPr>
          <w:sz w:val="20"/>
        </w:rPr>
      </w:pPr>
      <w:r w:rsidRPr="00721567">
        <w:rPr>
          <w:sz w:val="20"/>
        </w:rPr>
        <w:t xml:space="preserve">Uniting and Strengthening America by Providing Appropriate Tools Required to Intercept and Obstruct Terrorism Act of 2001(Patriot Act), Pub. L. 107-56, Oct. 26, 2001, 115 Stat. 272 </w:t>
      </w:r>
    </w:p>
    <w:p w:rsidR="00CA5AD6" w:rsidRPr="00721567" w:rsidRDefault="00CA5AD6" w:rsidP="00651D87">
      <w:pPr>
        <w:widowControl/>
        <w:spacing w:line="360" w:lineRule="auto"/>
        <w:rPr>
          <w:sz w:val="20"/>
        </w:rPr>
      </w:pPr>
      <w:r w:rsidRPr="00721567">
        <w:rPr>
          <w:sz w:val="20"/>
        </w:rPr>
        <w:t>Any other federal laws?</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b/>
          <w:sz w:val="20"/>
        </w:rPr>
      </w:pPr>
      <w:r w:rsidRPr="00721567">
        <w:rPr>
          <w:b/>
          <w:sz w:val="20"/>
        </w:rPr>
        <w:t>Other States’ Laws</w:t>
      </w:r>
    </w:p>
    <w:p w:rsidR="00CA5AD6" w:rsidRPr="00721567" w:rsidRDefault="00CA5AD6" w:rsidP="00651D87">
      <w:pPr>
        <w:widowControl/>
        <w:spacing w:line="360" w:lineRule="auto"/>
        <w:rPr>
          <w:sz w:val="20"/>
        </w:rPr>
      </w:pPr>
      <w:r w:rsidRPr="00721567">
        <w:rPr>
          <w:sz w:val="20"/>
        </w:rPr>
        <w:t>California Consumer Privacy Act of 2018 (CCPA), California Civil Code Section 1798.100, California Privacy Rights Act (CPRA), California Civil Code Section 1798.121</w:t>
      </w:r>
    </w:p>
    <w:p w:rsidR="00CA5AD6" w:rsidRPr="00721567" w:rsidRDefault="00CA5AD6" w:rsidP="00651D87">
      <w:pPr>
        <w:widowControl/>
        <w:spacing w:line="360" w:lineRule="auto"/>
        <w:rPr>
          <w:sz w:val="20"/>
        </w:rPr>
      </w:pPr>
      <w:r w:rsidRPr="00721567">
        <w:rPr>
          <w:sz w:val="20"/>
        </w:rPr>
        <w:t xml:space="preserve">Colorado Privacy Act </w:t>
      </w:r>
    </w:p>
    <w:p w:rsidR="00CA5AD6" w:rsidRPr="00721567" w:rsidRDefault="00CA5AD6" w:rsidP="00651D87">
      <w:pPr>
        <w:widowControl/>
        <w:spacing w:line="360" w:lineRule="auto"/>
        <w:rPr>
          <w:sz w:val="20"/>
        </w:rPr>
      </w:pPr>
      <w:r w:rsidRPr="00721567">
        <w:rPr>
          <w:sz w:val="20"/>
        </w:rPr>
        <w:t xml:space="preserve">Virginia Consumer Data Protection Act (CDPA), Va. Code Ann. 59.1-575 (2021) </w:t>
      </w:r>
    </w:p>
    <w:p w:rsidR="00CA5AD6" w:rsidRPr="004465B1" w:rsidRDefault="00CA5AD6" w:rsidP="00651D87">
      <w:pPr>
        <w:widowControl/>
        <w:spacing w:line="360" w:lineRule="auto"/>
        <w:rPr>
          <w:sz w:val="20"/>
        </w:rPr>
      </w:pPr>
      <w:r w:rsidRPr="00721567">
        <w:rPr>
          <w:sz w:val="20"/>
        </w:rPr>
        <w:t>Biometric Information Privacy Act, 740 ILCS 14</w:t>
      </w:r>
      <w:r w:rsidR="004465B1">
        <w:rPr>
          <w:sz w:val="20"/>
        </w:rPr>
        <w:t>,</w:t>
      </w:r>
      <w:r w:rsidRPr="00721567">
        <w:rPr>
          <w:sz w:val="20"/>
        </w:rPr>
        <w:t xml:space="preserve"> </w:t>
      </w:r>
      <w:r w:rsidRPr="004465B1">
        <w:rPr>
          <w:i/>
          <w:sz w:val="20"/>
        </w:rPr>
        <w:t>et seq</w:t>
      </w:r>
      <w:r w:rsidR="004465B1">
        <w:rPr>
          <w:sz w:val="20"/>
        </w:rPr>
        <w:t>.</w:t>
      </w:r>
    </w:p>
    <w:p w:rsidR="00CA5AD6" w:rsidRPr="00721567" w:rsidRDefault="00CA5AD6" w:rsidP="00651D87">
      <w:pPr>
        <w:widowControl/>
        <w:spacing w:line="360" w:lineRule="auto"/>
        <w:rPr>
          <w:sz w:val="20"/>
        </w:rPr>
      </w:pPr>
      <w:r w:rsidRPr="00721567">
        <w:rPr>
          <w:sz w:val="20"/>
        </w:rPr>
        <w:t xml:space="preserve">Any other states’ laws?  </w:t>
      </w: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p>
    <w:p w:rsidR="00CA5AD6" w:rsidRPr="00721567" w:rsidRDefault="00CA5AD6" w:rsidP="00651D87">
      <w:pPr>
        <w:widowControl/>
        <w:spacing w:line="360" w:lineRule="auto"/>
        <w:rPr>
          <w:sz w:val="20"/>
        </w:rPr>
      </w:pPr>
    </w:p>
    <w:p w:rsidR="000D5444" w:rsidRPr="00721567" w:rsidRDefault="000D5444" w:rsidP="00651D87">
      <w:pPr>
        <w:widowControl/>
        <w:spacing w:line="360" w:lineRule="auto"/>
        <w:rPr>
          <w:sz w:val="20"/>
        </w:rPr>
      </w:pPr>
    </w:p>
    <w:sectPr w:rsidR="000D5444" w:rsidRPr="00721567" w:rsidSect="00651D87">
      <w:headerReference w:type="default" r:id="rId13"/>
      <w:footerReference w:type="default" r:id="rId14"/>
      <w:headerReference w:type="first" r:id="rId15"/>
      <w:footerReference w:type="first" r:id="rId16"/>
      <w:endnotePr>
        <w:numFmt w:val="decimal"/>
      </w:endnotePr>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030" w:rsidRDefault="00E51030">
      <w:r>
        <w:separator/>
      </w:r>
    </w:p>
  </w:endnote>
  <w:endnote w:type="continuationSeparator" w:id="0">
    <w:p w:rsidR="00E51030" w:rsidRDefault="00E5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6972"/>
      <w:docPartObj>
        <w:docPartGallery w:val="Page Numbers (Bottom of Page)"/>
        <w:docPartUnique/>
      </w:docPartObj>
    </w:sdtPr>
    <w:sdtEndPr>
      <w:rPr>
        <w:noProof/>
        <w:sz w:val="20"/>
      </w:rPr>
    </w:sdtEndPr>
    <w:sdtContent>
      <w:p w:rsidR="003128A5" w:rsidRPr="00721567" w:rsidRDefault="003128A5">
        <w:pPr>
          <w:pStyle w:val="Footer"/>
          <w:jc w:val="center"/>
          <w:rPr>
            <w:sz w:val="20"/>
          </w:rPr>
        </w:pPr>
        <w:r w:rsidRPr="00721567">
          <w:rPr>
            <w:sz w:val="20"/>
          </w:rPr>
          <w:fldChar w:fldCharType="begin"/>
        </w:r>
        <w:r w:rsidRPr="00721567">
          <w:rPr>
            <w:sz w:val="20"/>
          </w:rPr>
          <w:instrText xml:space="preserve"> PAGE   \* MERGEFORMAT </w:instrText>
        </w:r>
        <w:r w:rsidRPr="00721567">
          <w:rPr>
            <w:sz w:val="20"/>
          </w:rPr>
          <w:fldChar w:fldCharType="separate"/>
        </w:r>
        <w:r w:rsidR="008564F8">
          <w:rPr>
            <w:noProof/>
            <w:sz w:val="20"/>
          </w:rPr>
          <w:t>2</w:t>
        </w:r>
        <w:r w:rsidRPr="00721567">
          <w:rPr>
            <w:noProof/>
            <w:sz w:val="20"/>
          </w:rPr>
          <w:fldChar w:fldCharType="end"/>
        </w:r>
      </w:p>
    </w:sdtContent>
  </w:sdt>
  <w:p w:rsidR="003128A5" w:rsidRDefault="003128A5" w:rsidP="00721567">
    <w:pPr>
      <w:pStyle w:val="Footer"/>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A5" w:rsidRDefault="003128A5">
    <w:pPr>
      <w:pStyle w:val="Footer"/>
      <w:pBdr>
        <w:top w:val="single" w:sz="4" w:space="1" w:color="auto"/>
      </w:pBdr>
      <w:jc w:val="center"/>
      <w:rPr>
        <w:b/>
        <w:sz w:val="20"/>
      </w:rPr>
    </w:pPr>
    <w:r>
      <w:rPr>
        <w:b/>
        <w:sz w:val="20"/>
      </w:rPr>
      <w:t>Department of the Secretary of State</w:t>
    </w:r>
  </w:p>
  <w:p w:rsidR="003128A5" w:rsidRDefault="003128A5">
    <w:pPr>
      <w:pStyle w:val="Footer"/>
      <w:pBdr>
        <w:top w:val="single" w:sz="4" w:space="1" w:color="auto"/>
      </w:pBdr>
      <w:jc w:val="center"/>
      <w:rPr>
        <w:b/>
        <w:sz w:val="20"/>
      </w:rPr>
    </w:pPr>
    <w:r>
      <w:rPr>
        <w:b/>
        <w:sz w:val="20"/>
      </w:rPr>
      <w:t xml:space="preserve">P. O. Box 29622     </w:t>
    </w:r>
    <w:smartTag w:uri="urn:schemas-microsoft-com:office:smarttags" w:element="City">
      <w:r>
        <w:rPr>
          <w:b/>
          <w:sz w:val="20"/>
        </w:rPr>
        <w:t>Raleigh</w:t>
      </w:r>
    </w:smartTag>
    <w:r>
      <w:rPr>
        <w:b/>
        <w:sz w:val="20"/>
      </w:rPr>
      <w:t xml:space="preserve">, </w:t>
    </w:r>
    <w:smartTag w:uri="urn:schemas-microsoft-com:office:smarttags" w:element="State">
      <w:r>
        <w:rPr>
          <w:b/>
          <w:sz w:val="20"/>
        </w:rPr>
        <w:t>NC</w:t>
      </w:r>
    </w:smartTag>
    <w:r>
      <w:rPr>
        <w:b/>
        <w:sz w:val="20"/>
      </w:rPr>
      <w:t xml:space="preserve"> 27626-0622</w:t>
    </w:r>
  </w:p>
  <w:p w:rsidR="003128A5" w:rsidRDefault="003128A5">
    <w:pPr>
      <w:pStyle w:val="Footer"/>
      <w:pBdr>
        <w:top w:val="single" w:sz="4" w:space="1" w:color="auto"/>
      </w:pBdr>
      <w:jc w:val="center"/>
      <w:rPr>
        <w:rFonts w:ascii="Arial" w:hAnsi="Arial"/>
        <w:sz w:val="14"/>
      </w:rPr>
    </w:pPr>
    <w:r>
      <w:rPr>
        <w:b/>
        <w:sz w:val="20"/>
      </w:rPr>
      <w:t>Voice:  919-814-5305    Fax:  919-814-5391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030" w:rsidRDefault="00E51030">
      <w:r>
        <w:separator/>
      </w:r>
    </w:p>
  </w:footnote>
  <w:footnote w:type="continuationSeparator" w:id="0">
    <w:p w:rsidR="00E51030" w:rsidRDefault="00E51030">
      <w:r>
        <w:continuationSeparator/>
      </w:r>
    </w:p>
  </w:footnote>
  <w:footnote w:id="1">
    <w:p w:rsidR="003128A5" w:rsidRDefault="003128A5">
      <w:pPr>
        <w:pStyle w:val="FootnoteText"/>
      </w:pPr>
      <w:r w:rsidRPr="006033BF">
        <w:rPr>
          <w:rStyle w:val="FootnoteReference"/>
          <w:vertAlign w:val="superscript"/>
        </w:rPr>
        <w:footnoteRef/>
      </w:r>
      <w:r>
        <w:t xml:space="preserve"> There is an exception by which eNotaries and traditional notaries may administer oaths and affirmations in judicial actions or proceedings. G.S. 10B-134.9(d).</w:t>
      </w:r>
    </w:p>
  </w:footnote>
  <w:footnote w:id="2">
    <w:p w:rsidR="003128A5" w:rsidRDefault="003128A5" w:rsidP="00CA5AD6">
      <w:pPr>
        <w:pStyle w:val="FootnoteText"/>
      </w:pPr>
      <w:r w:rsidRPr="006033BF">
        <w:rPr>
          <w:rStyle w:val="FootnoteReference"/>
          <w:vertAlign w:val="superscript"/>
        </w:rPr>
        <w:footnoteRef/>
      </w:r>
      <w:r w:rsidRPr="006033BF">
        <w:rPr>
          <w:rStyle w:val="FootnoteReference"/>
          <w:vertAlign w:val="superscript"/>
        </w:rPr>
        <w:t xml:space="preserve"> </w:t>
      </w:r>
      <w:r>
        <w:rPr>
          <w:vertAlign w:val="superscript"/>
        </w:rPr>
        <w:t xml:space="preserve"> </w:t>
      </w:r>
      <w:r w:rsidRPr="00444B70">
        <w:t>North Carolina law generally defines a rule as any “agency regulation, standard, or statement of general applicability that implements or interprets [a North Carolina law] or that describes the procedure or practice requirements of an agency.</w:t>
      </w:r>
      <w:r>
        <w:t>” G.S. 150B-2(8a).  The formal process is set out in Article 2A of the N.C. Administrative Procedures Act (APA), G.S. 150B.</w:t>
      </w:r>
    </w:p>
  </w:footnote>
  <w:footnote w:id="3">
    <w:p w:rsidR="003128A5" w:rsidRDefault="003128A5" w:rsidP="00CA5AD6">
      <w:pPr>
        <w:pStyle w:val="FootnoteText"/>
      </w:pPr>
      <w:r w:rsidRPr="006033BF">
        <w:rPr>
          <w:rStyle w:val="FootnoteReference"/>
          <w:vertAlign w:val="superscript"/>
        </w:rPr>
        <w:footnoteRef/>
      </w:r>
      <w:r>
        <w:t xml:space="preserve"> G.S. </w:t>
      </w:r>
      <w:r w:rsidRPr="00611EF3">
        <w:t>10B-134.1(1).</w:t>
      </w:r>
    </w:p>
  </w:footnote>
  <w:footnote w:id="4">
    <w:p w:rsidR="003128A5" w:rsidRDefault="003128A5">
      <w:pPr>
        <w:pStyle w:val="FootnoteText"/>
      </w:pPr>
      <w:r w:rsidRPr="006033BF">
        <w:rPr>
          <w:rStyle w:val="FootnoteReference"/>
          <w:vertAlign w:val="superscript"/>
        </w:rPr>
        <w:footnoteRef/>
      </w:r>
      <w:r>
        <w:t xml:space="preserve"> G.S. </w:t>
      </w:r>
      <w:r w:rsidRPr="00611EF3">
        <w:t>10B-134.1(</w:t>
      </w:r>
      <w:r>
        <w:t>9</w:t>
      </w:r>
      <w:r w:rsidRPr="00611EF3">
        <w:t>).</w:t>
      </w:r>
    </w:p>
  </w:footnote>
  <w:footnote w:id="5">
    <w:p w:rsidR="003128A5" w:rsidRPr="00611EF3" w:rsidRDefault="003128A5" w:rsidP="00CA5AD6">
      <w:pPr>
        <w:pStyle w:val="FootnoteText"/>
        <w:tabs>
          <w:tab w:val="left" w:pos="3152"/>
        </w:tabs>
      </w:pPr>
      <w:r w:rsidRPr="006033BF">
        <w:rPr>
          <w:rStyle w:val="FootnoteReference"/>
          <w:vertAlign w:val="superscript"/>
        </w:rPr>
        <w:footnoteRef/>
      </w:r>
      <w:r w:rsidRPr="00611EF3">
        <w:t xml:space="preserve"> </w:t>
      </w:r>
      <w:r>
        <w:t xml:space="preserve">G.S. </w:t>
      </w:r>
      <w:r w:rsidRPr="00611EF3">
        <w:t>10B-134.1(8).</w:t>
      </w:r>
    </w:p>
  </w:footnote>
  <w:footnote w:id="6">
    <w:p w:rsidR="003128A5" w:rsidRPr="00611EF3" w:rsidRDefault="003128A5" w:rsidP="00CA5AD6">
      <w:pPr>
        <w:pStyle w:val="FootnoteText"/>
      </w:pPr>
      <w:r w:rsidRPr="006033BF">
        <w:rPr>
          <w:rStyle w:val="FootnoteReference"/>
          <w:vertAlign w:val="superscript"/>
        </w:rPr>
        <w:footnoteRef/>
      </w:r>
      <w:r w:rsidRPr="00611EF3">
        <w:t xml:space="preserve"> </w:t>
      </w:r>
      <w:r>
        <w:t xml:space="preserve">G.S. </w:t>
      </w:r>
      <w:r w:rsidRPr="00611EF3">
        <w:t>10B-134.3(a).</w:t>
      </w:r>
    </w:p>
  </w:footnote>
  <w:footnote w:id="7">
    <w:p w:rsidR="003128A5" w:rsidRPr="00611EF3" w:rsidRDefault="003128A5" w:rsidP="00CA5AD6">
      <w:pPr>
        <w:pStyle w:val="FootnoteText"/>
      </w:pPr>
      <w:r w:rsidRPr="006033BF">
        <w:rPr>
          <w:rStyle w:val="FootnoteReference"/>
          <w:vertAlign w:val="superscript"/>
        </w:rPr>
        <w:footnoteRef/>
      </w:r>
      <w:r w:rsidRPr="00611EF3">
        <w:t xml:space="preserve"> </w:t>
      </w:r>
      <w:r>
        <w:t xml:space="preserve">G.S. </w:t>
      </w:r>
      <w:r w:rsidRPr="00611EF3">
        <w:t>10B-115.</w:t>
      </w:r>
    </w:p>
  </w:footnote>
  <w:footnote w:id="8">
    <w:p w:rsidR="003128A5" w:rsidRPr="006033BF" w:rsidRDefault="003128A5" w:rsidP="00CA5AD6">
      <w:pPr>
        <w:pStyle w:val="FootnoteText"/>
      </w:pPr>
      <w:r w:rsidRPr="006033BF">
        <w:rPr>
          <w:rStyle w:val="FootnoteReference"/>
          <w:vertAlign w:val="superscript"/>
        </w:rPr>
        <w:footnoteRef/>
      </w:r>
      <w:r w:rsidRPr="00611EF3">
        <w:rPr>
          <w:b/>
        </w:rPr>
        <w:t xml:space="preserve"> </w:t>
      </w:r>
      <w:r w:rsidRPr="00611EF3">
        <w:t xml:space="preserve">The Electronic Notary Act is Part 2 of </w:t>
      </w:r>
      <w:r>
        <w:t xml:space="preserve">G.S. 10B, Notaries, G.S. 10B-100, </w:t>
      </w:r>
      <w:r>
        <w:rPr>
          <w:i/>
        </w:rPr>
        <w:t>et seq.</w:t>
      </w:r>
    </w:p>
  </w:footnote>
  <w:footnote w:id="9">
    <w:p w:rsidR="003128A5" w:rsidRPr="00611EF3" w:rsidRDefault="003128A5" w:rsidP="00CA5AD6">
      <w:pPr>
        <w:pStyle w:val="FootnoteText"/>
      </w:pPr>
      <w:r w:rsidRPr="006033BF">
        <w:rPr>
          <w:rStyle w:val="FootnoteReference"/>
          <w:vertAlign w:val="superscript"/>
        </w:rPr>
        <w:footnoteRef/>
      </w:r>
      <w:r w:rsidRPr="00611EF3">
        <w:t xml:space="preserve"> </w:t>
      </w:r>
      <w:r>
        <w:t xml:space="preserve">G.S. </w:t>
      </w:r>
      <w:r w:rsidRPr="00611EF3">
        <w:t>10B-101(4).</w:t>
      </w:r>
    </w:p>
  </w:footnote>
  <w:footnote w:id="10">
    <w:p w:rsidR="003128A5" w:rsidRPr="00173BEB" w:rsidRDefault="003128A5" w:rsidP="00CA5AD6">
      <w:pPr>
        <w:pStyle w:val="FootnoteText"/>
        <w:rPr>
          <w:b/>
        </w:rPr>
      </w:pPr>
      <w:r w:rsidRPr="006033BF">
        <w:rPr>
          <w:rStyle w:val="FootnoteReference"/>
          <w:vertAlign w:val="superscript"/>
        </w:rPr>
        <w:footnoteRef/>
      </w:r>
      <w:r>
        <w:t xml:space="preserve"> G.S. </w:t>
      </w:r>
      <w:r w:rsidRPr="00611EF3">
        <w:t>10B-134.1(9).</w:t>
      </w:r>
    </w:p>
  </w:footnote>
  <w:footnote w:id="11">
    <w:p w:rsidR="003128A5" w:rsidRDefault="003128A5" w:rsidP="00CA5AD6">
      <w:pPr>
        <w:pStyle w:val="FootnoteText"/>
      </w:pPr>
      <w:r w:rsidRPr="006033BF">
        <w:rPr>
          <w:rStyle w:val="FootnoteReference"/>
          <w:vertAlign w:val="superscript"/>
        </w:rPr>
        <w:footnoteRef/>
      </w:r>
      <w:r>
        <w:t xml:space="preserve"> G.S.</w:t>
      </w:r>
      <w:r w:rsidRPr="00544450">
        <w:t xml:space="preserve"> 10B-134.1(10)(a).</w:t>
      </w:r>
    </w:p>
  </w:footnote>
  <w:footnote w:id="12">
    <w:p w:rsidR="003128A5" w:rsidRPr="00157E2B" w:rsidRDefault="003128A5">
      <w:pPr>
        <w:pStyle w:val="FootnoteText"/>
      </w:pPr>
      <w:r w:rsidRPr="00157E2B">
        <w:rPr>
          <w:rStyle w:val="FootnoteReference"/>
          <w:vertAlign w:val="superscript"/>
        </w:rPr>
        <w:footnoteRef/>
      </w:r>
      <w:r>
        <w:t xml:space="preserve"> G.S.</w:t>
      </w:r>
      <w:r w:rsidRPr="00544450">
        <w:t xml:space="preserve"> </w:t>
      </w:r>
      <w:r>
        <w:t>10B-134.1(10)(b</w:t>
      </w:r>
      <w:r w:rsidRPr="00544450">
        <w:t>)</w:t>
      </w:r>
      <w:r>
        <w:t>, (c)</w:t>
      </w:r>
      <w:r w:rsidRPr="00544450">
        <w:t>.</w:t>
      </w:r>
    </w:p>
  </w:footnote>
  <w:footnote w:id="13">
    <w:p w:rsidR="003128A5" w:rsidRPr="00D63115" w:rsidRDefault="003128A5" w:rsidP="00CA5AD6">
      <w:pPr>
        <w:pStyle w:val="FootnoteText"/>
      </w:pPr>
      <w:r w:rsidRPr="006033BF">
        <w:rPr>
          <w:rStyle w:val="FootnoteReference"/>
          <w:vertAlign w:val="superscript"/>
        </w:rPr>
        <w:footnoteRef/>
      </w:r>
      <w:r>
        <w:t xml:space="preserve"> G.S.</w:t>
      </w:r>
      <w:r w:rsidRPr="00D63115">
        <w:t xml:space="preserve"> 10B-134.11(a).</w:t>
      </w:r>
    </w:p>
  </w:footnote>
  <w:footnote w:id="14">
    <w:p w:rsidR="003128A5" w:rsidRDefault="003128A5" w:rsidP="00CA5AD6">
      <w:pPr>
        <w:pStyle w:val="FootnoteText"/>
      </w:pPr>
      <w:r w:rsidRPr="006033BF">
        <w:rPr>
          <w:rStyle w:val="FootnoteReference"/>
          <w:vertAlign w:val="superscript"/>
        </w:rPr>
        <w:footnoteRef/>
      </w:r>
      <w:r w:rsidRPr="00D63115">
        <w:t xml:space="preserve"> </w:t>
      </w:r>
      <w:r>
        <w:t xml:space="preserve">G.S. </w:t>
      </w:r>
      <w:r w:rsidRPr="00D63115">
        <w:t xml:space="preserve">10B-102. </w:t>
      </w:r>
      <w:r>
        <w:t xml:space="preserve"> </w:t>
      </w:r>
      <w:r w:rsidRPr="00D63115">
        <w:t>Scope of this Articl</w:t>
      </w:r>
      <w:r>
        <w:t>e.</w:t>
      </w:r>
      <w:r w:rsidRPr="00D63115">
        <w:t xml:space="preserve"> </w:t>
      </w:r>
      <w:r>
        <w:t>“</w:t>
      </w:r>
      <w:r w:rsidRPr="00D63115">
        <w:t>(a) Article 1 of this Chapter applies to all acts authorized under this Article unless the provisions of Article 1 directly conflict with the provisions of this Article, in which case provisions of Article 2 shall control</w:t>
      </w:r>
      <w:r>
        <w:t>.”</w:t>
      </w:r>
    </w:p>
  </w:footnote>
  <w:footnote w:id="15">
    <w:p w:rsidR="003128A5" w:rsidRDefault="003128A5" w:rsidP="00CA5AD6">
      <w:pPr>
        <w:pStyle w:val="FootnoteText"/>
      </w:pPr>
      <w:r w:rsidRPr="006033BF">
        <w:rPr>
          <w:rStyle w:val="FootnoteReference"/>
          <w:vertAlign w:val="superscript"/>
        </w:rPr>
        <w:footnoteRef/>
      </w:r>
      <w:r>
        <w:t xml:space="preserve"> G.S. 10B</w:t>
      </w:r>
      <w:r w:rsidRPr="00D63115">
        <w:t>-102(a).</w:t>
      </w:r>
    </w:p>
  </w:footnote>
  <w:footnote w:id="16">
    <w:p w:rsidR="003128A5" w:rsidRPr="00D63115" w:rsidRDefault="003128A5" w:rsidP="00661CC5">
      <w:pPr>
        <w:pStyle w:val="FootnoteText"/>
      </w:pPr>
      <w:r w:rsidRPr="006033BF">
        <w:rPr>
          <w:rStyle w:val="FootnoteReference"/>
          <w:vertAlign w:val="superscript"/>
        </w:rPr>
        <w:footnoteRef/>
      </w:r>
      <w:r w:rsidRPr="00D63115">
        <w:t xml:space="preserve"> </w:t>
      </w:r>
      <w:r>
        <w:t>G.S.</w:t>
      </w:r>
      <w:r w:rsidRPr="00D63115">
        <w:t xml:space="preserve"> 10B-3(5), 10B-20(c)(2a).</w:t>
      </w:r>
      <w:r>
        <w:t xml:space="preserve"> Both provisions are in Article 1 of Chapter 10B of the General Statutes.</w:t>
      </w:r>
    </w:p>
  </w:footnote>
  <w:footnote w:id="17">
    <w:p w:rsidR="003128A5" w:rsidRPr="006D1057" w:rsidRDefault="003128A5">
      <w:pPr>
        <w:pStyle w:val="FootnoteText"/>
      </w:pPr>
      <w:r w:rsidRPr="006D1057">
        <w:rPr>
          <w:rStyle w:val="FootnoteReference"/>
          <w:vertAlign w:val="superscript"/>
        </w:rPr>
        <w:footnoteRef/>
      </w:r>
      <w:r>
        <w:t xml:space="preserve"> In judicial actions or proceedings, any notary may administer an oath or affirmation to a witness that does not require remote electronic notarization of a record.  In such cases, the notary shall not be required to select the medium of communication technology or to retain a CT Recording of the performance of such remote oral oath or affirmation.  G.S. § 10B-134-9(d).  </w:t>
      </w:r>
      <w:r>
        <w:rPr>
          <w:i/>
        </w:rPr>
        <w:t xml:space="preserve">See </w:t>
      </w:r>
      <w:r w:rsidRPr="004878A2">
        <w:t>discussion at Section K</w:t>
      </w:r>
      <w:r>
        <w:t xml:space="preserve">, </w:t>
      </w:r>
      <w:r>
        <w:rPr>
          <w:i/>
        </w:rPr>
        <w:t>infra</w:t>
      </w:r>
      <w:r>
        <w:t>.</w:t>
      </w:r>
    </w:p>
  </w:footnote>
  <w:footnote w:id="18">
    <w:p w:rsidR="003128A5" w:rsidRPr="00E3111F" w:rsidRDefault="003128A5">
      <w:pPr>
        <w:pStyle w:val="FootnoteText"/>
        <w:rPr>
          <w:vertAlign w:val="superscript"/>
        </w:rPr>
      </w:pPr>
      <w:r w:rsidRPr="00E3111F">
        <w:rPr>
          <w:rStyle w:val="FootnoteReference"/>
          <w:vertAlign w:val="superscript"/>
        </w:rPr>
        <w:footnoteRef/>
      </w:r>
      <w:r w:rsidRPr="00E3111F">
        <w:rPr>
          <w:vertAlign w:val="superscript"/>
        </w:rPr>
        <w:t xml:space="preserve"> </w:t>
      </w:r>
      <w:r>
        <w:t>G.S. 10B-134.5(b).</w:t>
      </w:r>
    </w:p>
  </w:footnote>
  <w:footnote w:id="19">
    <w:p w:rsidR="003128A5" w:rsidRPr="00E3111F" w:rsidRDefault="003128A5">
      <w:pPr>
        <w:pStyle w:val="FootnoteText"/>
        <w:rPr>
          <w:vertAlign w:val="superscript"/>
        </w:rPr>
      </w:pPr>
      <w:r w:rsidRPr="00E3111F">
        <w:rPr>
          <w:rStyle w:val="FootnoteReference"/>
          <w:vertAlign w:val="superscript"/>
        </w:rPr>
        <w:footnoteRef/>
      </w:r>
      <w:r w:rsidRPr="00E3111F">
        <w:rPr>
          <w:vertAlign w:val="superscript"/>
        </w:rPr>
        <w:t xml:space="preserve"> </w:t>
      </w:r>
      <w:r>
        <w:t>G.S. 10B-134.5(c).</w:t>
      </w:r>
    </w:p>
  </w:footnote>
  <w:footnote w:id="20">
    <w:p w:rsidR="003128A5" w:rsidRPr="00E3111F" w:rsidRDefault="003128A5">
      <w:pPr>
        <w:pStyle w:val="FootnoteText"/>
        <w:rPr>
          <w:vertAlign w:val="superscript"/>
        </w:rPr>
      </w:pPr>
      <w:r w:rsidRPr="00E3111F">
        <w:rPr>
          <w:rStyle w:val="FootnoteReference"/>
          <w:vertAlign w:val="superscript"/>
        </w:rPr>
        <w:footnoteRef/>
      </w:r>
      <w:r w:rsidRPr="00E3111F">
        <w:rPr>
          <w:vertAlign w:val="superscript"/>
        </w:rPr>
        <w:t xml:space="preserve"> </w:t>
      </w:r>
      <w:r>
        <w:t>G.S. 10B-134.5(b).</w:t>
      </w:r>
    </w:p>
  </w:footnote>
  <w:footnote w:id="21">
    <w:p w:rsidR="003128A5" w:rsidRDefault="003128A5">
      <w:pPr>
        <w:pStyle w:val="FootnoteText"/>
      </w:pPr>
      <w:r w:rsidRPr="00D95BBE">
        <w:rPr>
          <w:rStyle w:val="FootnoteReference"/>
          <w:vertAlign w:val="superscript"/>
        </w:rPr>
        <w:footnoteRef/>
      </w:r>
      <w:r w:rsidRPr="00D95BBE">
        <w:rPr>
          <w:vertAlign w:val="superscript"/>
        </w:rPr>
        <w:t xml:space="preserve"> </w:t>
      </w:r>
      <w:r>
        <w:t>G.S. 10B-134.3(a), 10B-134.19.</w:t>
      </w:r>
    </w:p>
  </w:footnote>
  <w:footnote w:id="22">
    <w:p w:rsidR="003128A5" w:rsidRPr="001255D3" w:rsidRDefault="003128A5" w:rsidP="00CA5AD6">
      <w:pPr>
        <w:pStyle w:val="FootnoteText"/>
      </w:pPr>
      <w:r w:rsidRPr="006033BF">
        <w:rPr>
          <w:rStyle w:val="FootnoteReference"/>
          <w:vertAlign w:val="superscript"/>
        </w:rPr>
        <w:footnoteRef/>
      </w:r>
      <w:r w:rsidRPr="006033BF">
        <w:rPr>
          <w:rStyle w:val="FootnoteReference"/>
          <w:vertAlign w:val="superscript"/>
        </w:rPr>
        <w:t xml:space="preserve"> </w:t>
      </w:r>
      <w:r w:rsidRPr="001255D3">
        <w:t>G.S. 10B-36.</w:t>
      </w:r>
    </w:p>
  </w:footnote>
  <w:footnote w:id="23">
    <w:p w:rsidR="003128A5" w:rsidRPr="001255D3" w:rsidRDefault="003128A5" w:rsidP="00D95BBE">
      <w:pPr>
        <w:pStyle w:val="FootnoteText"/>
        <w:rPr>
          <w:vertAlign w:val="superscript"/>
        </w:rPr>
      </w:pPr>
      <w:r w:rsidRPr="001255D3">
        <w:rPr>
          <w:rStyle w:val="FootnoteReference"/>
          <w:vertAlign w:val="superscript"/>
        </w:rPr>
        <w:footnoteRef/>
      </w:r>
      <w:r w:rsidRPr="001255D3">
        <w:rPr>
          <w:vertAlign w:val="superscript"/>
        </w:rPr>
        <w:t xml:space="preserve"> </w:t>
      </w:r>
      <w:r w:rsidRPr="001255D3">
        <w:t>G.S. 10B-134.5(b), 10B-134.9(b)(2), 10B-134.13.</w:t>
      </w:r>
    </w:p>
  </w:footnote>
  <w:footnote w:id="24">
    <w:p w:rsidR="003128A5" w:rsidRPr="001255D3" w:rsidRDefault="003128A5">
      <w:pPr>
        <w:pStyle w:val="FootnoteText"/>
        <w:rPr>
          <w:vertAlign w:val="superscript"/>
        </w:rPr>
      </w:pPr>
      <w:r w:rsidRPr="001255D3">
        <w:rPr>
          <w:rStyle w:val="FootnoteReference"/>
          <w:vertAlign w:val="superscript"/>
        </w:rPr>
        <w:footnoteRef/>
      </w:r>
      <w:r w:rsidRPr="001255D3">
        <w:rPr>
          <w:vertAlign w:val="superscript"/>
        </w:rPr>
        <w:t xml:space="preserve"> </w:t>
      </w:r>
      <w:r w:rsidRPr="001255D3">
        <w:t>G.S. 10B-134.17(a)(2).</w:t>
      </w:r>
    </w:p>
  </w:footnote>
  <w:footnote w:id="25">
    <w:p w:rsidR="003128A5" w:rsidRPr="001255D3" w:rsidRDefault="003128A5">
      <w:pPr>
        <w:pStyle w:val="FootnoteText"/>
        <w:rPr>
          <w:vertAlign w:val="superscript"/>
        </w:rPr>
      </w:pPr>
      <w:r w:rsidRPr="001255D3">
        <w:rPr>
          <w:rStyle w:val="FootnoteReference"/>
          <w:vertAlign w:val="superscript"/>
        </w:rPr>
        <w:footnoteRef/>
      </w:r>
      <w:r w:rsidRPr="001255D3">
        <w:rPr>
          <w:vertAlign w:val="superscript"/>
        </w:rPr>
        <w:t xml:space="preserve"> </w:t>
      </w:r>
      <w:r w:rsidRPr="001255D3">
        <w:t>G.S. 10B-134.17(a)(2).</w:t>
      </w:r>
    </w:p>
  </w:footnote>
  <w:footnote w:id="26">
    <w:p w:rsidR="003128A5" w:rsidRPr="009B77AA" w:rsidRDefault="003128A5">
      <w:pPr>
        <w:pStyle w:val="FootnoteText"/>
        <w:rPr>
          <w:vertAlign w:val="superscript"/>
        </w:rPr>
      </w:pPr>
      <w:r w:rsidRPr="009B77AA">
        <w:rPr>
          <w:rStyle w:val="FootnoteReference"/>
          <w:vertAlign w:val="superscript"/>
        </w:rPr>
        <w:footnoteRef/>
      </w:r>
      <w:r w:rsidRPr="009B77AA">
        <w:rPr>
          <w:vertAlign w:val="superscript"/>
        </w:rPr>
        <w:t xml:space="preserve"> </w:t>
      </w:r>
      <w:r>
        <w:t>G.S.</w:t>
      </w:r>
      <w:r w:rsidRPr="009B77AA">
        <w:t xml:space="preserve"> </w:t>
      </w:r>
      <w:r>
        <w:t>10B-134.17(b).</w:t>
      </w:r>
    </w:p>
  </w:footnote>
  <w:footnote w:id="27">
    <w:p w:rsidR="003128A5" w:rsidRPr="00A06906" w:rsidRDefault="003128A5">
      <w:pPr>
        <w:pStyle w:val="FootnoteText"/>
        <w:rPr>
          <w:vertAlign w:val="superscript"/>
        </w:rPr>
      </w:pPr>
      <w:r w:rsidRPr="00A06906">
        <w:rPr>
          <w:rStyle w:val="FootnoteReference"/>
          <w:vertAlign w:val="superscript"/>
        </w:rPr>
        <w:footnoteRef/>
      </w:r>
      <w:r w:rsidRPr="00A06906">
        <w:rPr>
          <w:vertAlign w:val="superscript"/>
        </w:rPr>
        <w:t xml:space="preserve"> </w:t>
      </w:r>
      <w:r>
        <w:t>G.S.</w:t>
      </w:r>
      <w:r w:rsidRPr="009B77AA">
        <w:t xml:space="preserve"> </w:t>
      </w:r>
      <w:r>
        <w:t xml:space="preserve">10B-134.17(b). </w:t>
      </w:r>
    </w:p>
  </w:footnote>
  <w:footnote w:id="28">
    <w:p w:rsidR="003128A5" w:rsidRPr="00A06906" w:rsidRDefault="003128A5">
      <w:pPr>
        <w:pStyle w:val="FootnoteText"/>
      </w:pPr>
      <w:r w:rsidRPr="00A06906">
        <w:rPr>
          <w:rStyle w:val="FootnoteReference"/>
          <w:vertAlign w:val="superscript"/>
        </w:rPr>
        <w:footnoteRef/>
      </w:r>
      <w:r w:rsidRPr="00A06906">
        <w:rPr>
          <w:vertAlign w:val="superscript"/>
        </w:rPr>
        <w:t xml:space="preserve"> </w:t>
      </w:r>
      <w:r>
        <w:t>G.S. 10B-134.15(a).</w:t>
      </w:r>
    </w:p>
  </w:footnote>
  <w:footnote w:id="29">
    <w:p w:rsidR="003128A5" w:rsidRPr="00A06906" w:rsidRDefault="003128A5">
      <w:pPr>
        <w:pStyle w:val="FootnoteText"/>
        <w:rPr>
          <w:vertAlign w:val="superscript"/>
        </w:rPr>
      </w:pPr>
      <w:r w:rsidRPr="00A06906">
        <w:rPr>
          <w:rStyle w:val="FootnoteReference"/>
          <w:vertAlign w:val="superscript"/>
        </w:rPr>
        <w:footnoteRef/>
      </w:r>
      <w:r w:rsidRPr="00A06906">
        <w:rPr>
          <w:vertAlign w:val="superscript"/>
        </w:rPr>
        <w:t xml:space="preserve"> </w:t>
      </w:r>
      <w:r>
        <w:t>G.S. 10B-134.15(a).</w:t>
      </w:r>
    </w:p>
  </w:footnote>
  <w:footnote w:id="30">
    <w:p w:rsidR="003128A5" w:rsidRPr="00A06906" w:rsidRDefault="003128A5">
      <w:pPr>
        <w:pStyle w:val="FootnoteText"/>
        <w:rPr>
          <w:vertAlign w:val="superscript"/>
        </w:rPr>
      </w:pPr>
      <w:r w:rsidRPr="00A06906">
        <w:rPr>
          <w:rStyle w:val="FootnoteReference"/>
          <w:vertAlign w:val="superscript"/>
        </w:rPr>
        <w:footnoteRef/>
      </w:r>
      <w:r w:rsidRPr="00A06906">
        <w:rPr>
          <w:vertAlign w:val="superscript"/>
        </w:rPr>
        <w:t xml:space="preserve"> </w:t>
      </w:r>
      <w:r>
        <w:t>G.S. 10B-134.17(c).</w:t>
      </w:r>
    </w:p>
  </w:footnote>
  <w:footnote w:id="31">
    <w:p w:rsidR="003128A5" w:rsidRPr="00B86254" w:rsidRDefault="003128A5">
      <w:pPr>
        <w:pStyle w:val="FootnoteText"/>
        <w:rPr>
          <w:vertAlign w:val="superscript"/>
        </w:rPr>
      </w:pPr>
      <w:r w:rsidRPr="00B86254">
        <w:rPr>
          <w:rStyle w:val="FootnoteReference"/>
          <w:vertAlign w:val="superscript"/>
        </w:rPr>
        <w:footnoteRef/>
      </w:r>
      <w:r w:rsidRPr="00B86254">
        <w:rPr>
          <w:vertAlign w:val="superscript"/>
        </w:rPr>
        <w:t xml:space="preserve"> </w:t>
      </w:r>
      <w:r>
        <w:t>G.S. 10B-134.5(b), (c).</w:t>
      </w:r>
    </w:p>
  </w:footnote>
  <w:footnote w:id="32">
    <w:p w:rsidR="003128A5" w:rsidRPr="00B86254" w:rsidRDefault="003128A5">
      <w:pPr>
        <w:pStyle w:val="FootnoteText"/>
        <w:rPr>
          <w:vertAlign w:val="superscript"/>
        </w:rPr>
      </w:pPr>
      <w:r w:rsidRPr="00B86254">
        <w:rPr>
          <w:rStyle w:val="FootnoteReference"/>
          <w:vertAlign w:val="superscript"/>
        </w:rPr>
        <w:footnoteRef/>
      </w:r>
      <w:r w:rsidRPr="00B86254">
        <w:rPr>
          <w:vertAlign w:val="superscript"/>
        </w:rPr>
        <w:t xml:space="preserve"> </w:t>
      </w:r>
      <w:r>
        <w:t>G.S. 10B-134.15(a).</w:t>
      </w:r>
    </w:p>
  </w:footnote>
  <w:footnote w:id="33">
    <w:p w:rsidR="003128A5" w:rsidRPr="00726295" w:rsidRDefault="003128A5">
      <w:pPr>
        <w:pStyle w:val="FootnoteText"/>
        <w:rPr>
          <w:vertAlign w:val="superscript"/>
        </w:rPr>
      </w:pPr>
      <w:r w:rsidRPr="00726295">
        <w:rPr>
          <w:rStyle w:val="FootnoteReference"/>
          <w:vertAlign w:val="superscript"/>
        </w:rPr>
        <w:footnoteRef/>
      </w:r>
      <w:r w:rsidRPr="00726295">
        <w:rPr>
          <w:vertAlign w:val="superscript"/>
        </w:rPr>
        <w:t xml:space="preserve"> </w:t>
      </w:r>
      <w:r>
        <w:t>G.S. 10B-134.17(b).</w:t>
      </w:r>
    </w:p>
  </w:footnote>
  <w:footnote w:id="34">
    <w:p w:rsidR="003128A5" w:rsidRPr="004E322B" w:rsidRDefault="003128A5">
      <w:pPr>
        <w:pStyle w:val="FootnoteText"/>
        <w:rPr>
          <w:vertAlign w:val="superscript"/>
        </w:rPr>
      </w:pPr>
      <w:r w:rsidRPr="004E322B">
        <w:rPr>
          <w:rStyle w:val="FootnoteReference"/>
          <w:vertAlign w:val="superscript"/>
        </w:rPr>
        <w:footnoteRef/>
      </w:r>
      <w:r w:rsidRPr="004E322B">
        <w:rPr>
          <w:vertAlign w:val="superscript"/>
        </w:rPr>
        <w:t xml:space="preserve"> </w:t>
      </w:r>
      <w:r>
        <w:t>G.S. 10B-134.23(c)(1).</w:t>
      </w:r>
    </w:p>
  </w:footnote>
  <w:footnote w:id="35">
    <w:p w:rsidR="003128A5" w:rsidRPr="004E322B" w:rsidRDefault="003128A5">
      <w:pPr>
        <w:pStyle w:val="FootnoteText"/>
        <w:rPr>
          <w:vertAlign w:val="superscript"/>
        </w:rPr>
      </w:pPr>
      <w:r w:rsidRPr="004E322B">
        <w:rPr>
          <w:rStyle w:val="FootnoteReference"/>
          <w:vertAlign w:val="superscript"/>
        </w:rPr>
        <w:footnoteRef/>
      </w:r>
      <w:r w:rsidRPr="004E322B">
        <w:rPr>
          <w:vertAlign w:val="superscript"/>
        </w:rPr>
        <w:t xml:space="preserve"> </w:t>
      </w:r>
      <w:r>
        <w:t>G.S. 10B-134.17(b).</w:t>
      </w:r>
    </w:p>
  </w:footnote>
  <w:footnote w:id="36">
    <w:p w:rsidR="003128A5" w:rsidRPr="004E322B" w:rsidRDefault="003128A5">
      <w:pPr>
        <w:pStyle w:val="FootnoteText"/>
        <w:rPr>
          <w:vertAlign w:val="superscript"/>
        </w:rPr>
      </w:pPr>
      <w:r w:rsidRPr="004E322B">
        <w:rPr>
          <w:rStyle w:val="FootnoteReference"/>
          <w:vertAlign w:val="superscript"/>
        </w:rPr>
        <w:footnoteRef/>
      </w:r>
      <w:r>
        <w:rPr>
          <w:vertAlign w:val="superscript"/>
        </w:rPr>
        <w:t xml:space="preserve"> </w:t>
      </w:r>
      <w:r>
        <w:t>G.S. 10B-134.23(c)(1).</w:t>
      </w:r>
    </w:p>
  </w:footnote>
  <w:footnote w:id="37">
    <w:p w:rsidR="003128A5" w:rsidRPr="00726295" w:rsidRDefault="003128A5" w:rsidP="00BC4D2F">
      <w:pPr>
        <w:pStyle w:val="FootnoteText"/>
        <w:rPr>
          <w:vertAlign w:val="superscript"/>
        </w:rPr>
      </w:pPr>
      <w:r w:rsidRPr="00726295">
        <w:rPr>
          <w:rStyle w:val="FootnoteReference"/>
          <w:vertAlign w:val="superscript"/>
        </w:rPr>
        <w:footnoteRef/>
      </w:r>
      <w:r w:rsidRPr="00726295">
        <w:rPr>
          <w:vertAlign w:val="superscript"/>
        </w:rPr>
        <w:t xml:space="preserve"> </w:t>
      </w:r>
      <w:r>
        <w:t>G.S. 10B-134.15(c).</w:t>
      </w:r>
    </w:p>
  </w:footnote>
  <w:footnote w:id="38">
    <w:p w:rsidR="003128A5" w:rsidRPr="00726295" w:rsidRDefault="003128A5" w:rsidP="00BC4D2F">
      <w:pPr>
        <w:pStyle w:val="FootnoteText"/>
        <w:rPr>
          <w:vertAlign w:val="superscript"/>
        </w:rPr>
      </w:pPr>
      <w:r w:rsidRPr="00726295">
        <w:rPr>
          <w:rStyle w:val="FootnoteReference"/>
          <w:vertAlign w:val="superscript"/>
        </w:rPr>
        <w:footnoteRef/>
      </w:r>
      <w:r w:rsidRPr="00726295">
        <w:rPr>
          <w:vertAlign w:val="superscript"/>
        </w:rPr>
        <w:t xml:space="preserve"> </w:t>
      </w:r>
      <w:r>
        <w:t>G.S. 10B-134.15(d).</w:t>
      </w:r>
    </w:p>
  </w:footnote>
  <w:footnote w:id="39">
    <w:p w:rsidR="003128A5" w:rsidRPr="00CF1235" w:rsidRDefault="003128A5" w:rsidP="00BC4D2F">
      <w:pPr>
        <w:pStyle w:val="FootnoteText"/>
      </w:pPr>
      <w:r w:rsidRPr="00726295">
        <w:rPr>
          <w:rStyle w:val="FootnoteReference"/>
          <w:vertAlign w:val="superscript"/>
        </w:rPr>
        <w:footnoteRef/>
      </w:r>
      <w:r w:rsidRPr="00726295">
        <w:rPr>
          <w:vertAlign w:val="superscript"/>
        </w:rPr>
        <w:t xml:space="preserve"> </w:t>
      </w:r>
      <w:r>
        <w:t>G.S.</w:t>
      </w:r>
      <w:r w:rsidRPr="00CF1235">
        <w:t xml:space="preserve"> 10B-134.15(c).</w:t>
      </w:r>
    </w:p>
  </w:footnote>
  <w:footnote w:id="40">
    <w:p w:rsidR="003128A5" w:rsidRPr="004E322B" w:rsidRDefault="003128A5" w:rsidP="00EF1FC7">
      <w:pPr>
        <w:pStyle w:val="FootnoteText"/>
      </w:pPr>
      <w:r w:rsidRPr="004E322B">
        <w:rPr>
          <w:rStyle w:val="FootnoteReference"/>
          <w:vertAlign w:val="superscript"/>
        </w:rPr>
        <w:footnoteRef/>
      </w:r>
      <w:r w:rsidRPr="004E322B">
        <w:rPr>
          <w:vertAlign w:val="superscript"/>
        </w:rPr>
        <w:t xml:space="preserve"> </w:t>
      </w:r>
      <w:r>
        <w:t>G.S. 10B-134.15(d).</w:t>
      </w:r>
    </w:p>
  </w:footnote>
  <w:footnote w:id="41">
    <w:p w:rsidR="003128A5" w:rsidRPr="004E322B" w:rsidRDefault="003128A5">
      <w:pPr>
        <w:pStyle w:val="FootnoteText"/>
      </w:pPr>
      <w:r w:rsidRPr="004E322B">
        <w:rPr>
          <w:rStyle w:val="FootnoteReference"/>
          <w:vertAlign w:val="superscript"/>
        </w:rPr>
        <w:footnoteRef/>
      </w:r>
      <w:r w:rsidRPr="004E322B">
        <w:rPr>
          <w:vertAlign w:val="superscript"/>
        </w:rPr>
        <w:t xml:space="preserve"> </w:t>
      </w:r>
      <w:r>
        <w:t>G.S. 10B-134.15(d).</w:t>
      </w:r>
    </w:p>
  </w:footnote>
  <w:footnote w:id="42">
    <w:p w:rsidR="003128A5" w:rsidRPr="004E322B" w:rsidRDefault="003128A5">
      <w:pPr>
        <w:pStyle w:val="FootnoteText"/>
      </w:pPr>
      <w:r w:rsidRPr="004E322B">
        <w:rPr>
          <w:rStyle w:val="FootnoteReference"/>
          <w:vertAlign w:val="superscript"/>
        </w:rPr>
        <w:footnoteRef/>
      </w:r>
      <w:r w:rsidRPr="004E322B">
        <w:rPr>
          <w:vertAlign w:val="superscript"/>
        </w:rPr>
        <w:t xml:space="preserve"> </w:t>
      </w:r>
      <w:r>
        <w:rPr>
          <w:vertAlign w:val="superscript"/>
        </w:rPr>
        <w:t xml:space="preserve"> </w:t>
      </w:r>
      <w:r>
        <w:t>G.S. 10B-134.9(f).</w:t>
      </w:r>
    </w:p>
  </w:footnote>
  <w:footnote w:id="43">
    <w:p w:rsidR="003128A5" w:rsidRDefault="003128A5">
      <w:pPr>
        <w:pStyle w:val="FootnoteText"/>
      </w:pPr>
      <w:r w:rsidRPr="00C9128D">
        <w:rPr>
          <w:rStyle w:val="FootnoteReference"/>
          <w:vertAlign w:val="superscript"/>
        </w:rPr>
        <w:footnoteRef/>
      </w:r>
      <w:r>
        <w:t xml:space="preserve"> G.S. 10B-134.5(b).</w:t>
      </w:r>
    </w:p>
  </w:footnote>
  <w:footnote w:id="44">
    <w:p w:rsidR="003128A5" w:rsidRDefault="003128A5" w:rsidP="00CA5AD6">
      <w:pPr>
        <w:pStyle w:val="FootnoteText"/>
      </w:pPr>
      <w:r w:rsidRPr="006033BF">
        <w:rPr>
          <w:rStyle w:val="FootnoteReference"/>
          <w:vertAlign w:val="superscript"/>
        </w:rPr>
        <w:footnoteRef/>
      </w:r>
      <w:r w:rsidRPr="00544450">
        <w:t xml:space="preserve"> </w:t>
      </w:r>
      <w:r>
        <w:t>G.S.</w:t>
      </w:r>
      <w:r w:rsidRPr="00544450">
        <w:t xml:space="preserve"> 10B-134.5(b).</w:t>
      </w:r>
    </w:p>
  </w:footnote>
  <w:footnote w:id="45">
    <w:p w:rsidR="003128A5" w:rsidRPr="00517FB1" w:rsidRDefault="003128A5">
      <w:pPr>
        <w:pStyle w:val="FootnoteText"/>
      </w:pPr>
      <w:r w:rsidRPr="00517FB1">
        <w:rPr>
          <w:rStyle w:val="FootnoteReference"/>
          <w:vertAlign w:val="superscript"/>
        </w:rPr>
        <w:footnoteRef/>
      </w:r>
      <w:r w:rsidRPr="00517FB1">
        <w:rPr>
          <w:rStyle w:val="FootnoteReference"/>
          <w:vertAlign w:val="superscript"/>
        </w:rPr>
        <w:t xml:space="preserve"> </w:t>
      </w:r>
      <w:r>
        <w:t>G.S.</w:t>
      </w:r>
      <w:r w:rsidRPr="00517FB1">
        <w:t xml:space="preserve"> 10B-134.17.</w:t>
      </w:r>
    </w:p>
  </w:footnote>
  <w:footnote w:id="46">
    <w:p w:rsidR="003128A5" w:rsidRDefault="003128A5">
      <w:pPr>
        <w:pStyle w:val="FootnoteText"/>
      </w:pPr>
      <w:r w:rsidRPr="0096549E">
        <w:rPr>
          <w:rStyle w:val="FootnoteReference"/>
          <w:vertAlign w:val="superscript"/>
        </w:rPr>
        <w:footnoteRef/>
      </w:r>
      <w:r w:rsidRPr="0096549E">
        <w:rPr>
          <w:rStyle w:val="FootnoteReference"/>
          <w:vertAlign w:val="superscript"/>
        </w:rPr>
        <w:t xml:space="preserve"> </w:t>
      </w:r>
      <w:r>
        <w:t>G.S. 10B-134.21(a).</w:t>
      </w:r>
    </w:p>
  </w:footnote>
  <w:footnote w:id="47">
    <w:p w:rsidR="003128A5" w:rsidRDefault="003128A5">
      <w:pPr>
        <w:pStyle w:val="FootnoteText"/>
      </w:pPr>
      <w:r w:rsidRPr="0059114C">
        <w:rPr>
          <w:rStyle w:val="FootnoteReference"/>
          <w:vertAlign w:val="superscript"/>
        </w:rPr>
        <w:footnoteRef/>
      </w:r>
      <w:r w:rsidRPr="0059114C">
        <w:rPr>
          <w:rStyle w:val="FootnoteReference"/>
          <w:vertAlign w:val="superscript"/>
        </w:rPr>
        <w:t xml:space="preserve"> </w:t>
      </w:r>
      <w:r>
        <w:t>G.S. 10B-134.10(g).</w:t>
      </w:r>
    </w:p>
  </w:footnote>
  <w:footnote w:id="48">
    <w:p w:rsidR="003128A5" w:rsidRPr="00C9128D" w:rsidRDefault="003128A5">
      <w:pPr>
        <w:pStyle w:val="FootnoteText"/>
      </w:pPr>
      <w:r w:rsidRPr="00C9128D">
        <w:rPr>
          <w:rStyle w:val="FootnoteReference"/>
          <w:vertAlign w:val="superscript"/>
        </w:rPr>
        <w:footnoteRef/>
      </w:r>
      <w:r w:rsidRPr="00C9128D">
        <w:rPr>
          <w:vertAlign w:val="superscript"/>
        </w:rPr>
        <w:t xml:space="preserve"> </w:t>
      </w:r>
      <w:r>
        <w:t>G.S. 10B-134.1(10), 10B-134.5(a)(7), 10B-134.9(a)(6).</w:t>
      </w:r>
    </w:p>
  </w:footnote>
  <w:footnote w:id="49">
    <w:p w:rsidR="003128A5" w:rsidRPr="00611EF3" w:rsidRDefault="003128A5" w:rsidP="00CA5AD6">
      <w:pPr>
        <w:pStyle w:val="FootnoteText"/>
      </w:pPr>
      <w:r w:rsidRPr="006033BF">
        <w:rPr>
          <w:rStyle w:val="FootnoteReference"/>
          <w:vertAlign w:val="superscript"/>
        </w:rPr>
        <w:footnoteRef/>
      </w:r>
      <w:r w:rsidRPr="00611EF3">
        <w:t xml:space="preserve"> </w:t>
      </w:r>
      <w:r>
        <w:t xml:space="preserve">G.S. </w:t>
      </w:r>
      <w:r w:rsidRPr="00611EF3">
        <w:t>10B-134.9(a)(1)</w:t>
      </w:r>
      <w:r>
        <w:t xml:space="preserve">, </w:t>
      </w:r>
      <w:r w:rsidRPr="00611EF3">
        <w:t>10B-134.13.</w:t>
      </w:r>
    </w:p>
  </w:footnote>
  <w:footnote w:id="50">
    <w:p w:rsidR="003128A5" w:rsidRPr="00C9128D" w:rsidRDefault="003128A5">
      <w:pPr>
        <w:pStyle w:val="FootnoteText"/>
        <w:rPr>
          <w:vertAlign w:val="superscript"/>
        </w:rPr>
      </w:pPr>
      <w:r w:rsidRPr="00C9128D">
        <w:rPr>
          <w:rStyle w:val="FootnoteReference"/>
          <w:vertAlign w:val="superscript"/>
        </w:rPr>
        <w:footnoteRef/>
      </w:r>
      <w:r w:rsidRPr="00C9128D">
        <w:rPr>
          <w:vertAlign w:val="superscript"/>
        </w:rPr>
        <w:t xml:space="preserve"> </w:t>
      </w:r>
      <w:r>
        <w:t xml:space="preserve">G.S. </w:t>
      </w:r>
      <w:r w:rsidRPr="00611EF3">
        <w:t>10B-134.</w:t>
      </w:r>
      <w:r>
        <w:t>19(e)(2).</w:t>
      </w:r>
    </w:p>
  </w:footnote>
  <w:footnote w:id="51">
    <w:p w:rsidR="003128A5" w:rsidRPr="00611EF3" w:rsidRDefault="003128A5" w:rsidP="00CA5AD6">
      <w:pPr>
        <w:pStyle w:val="FootnoteText"/>
      </w:pPr>
      <w:r w:rsidRPr="006033BF">
        <w:rPr>
          <w:rStyle w:val="FootnoteReference"/>
          <w:vertAlign w:val="superscript"/>
        </w:rPr>
        <w:footnoteRef/>
      </w:r>
      <w:r w:rsidRPr="00611EF3">
        <w:t xml:space="preserve"> </w:t>
      </w:r>
      <w:r>
        <w:t xml:space="preserve">G.S. </w:t>
      </w:r>
      <w:r w:rsidRPr="00611EF3">
        <w:t>10B-134.19(e)(2), (4).</w:t>
      </w:r>
    </w:p>
  </w:footnote>
  <w:footnote w:id="52">
    <w:p w:rsidR="003128A5" w:rsidRDefault="003128A5">
      <w:pPr>
        <w:pStyle w:val="FootnoteText"/>
      </w:pPr>
      <w:r w:rsidRPr="003F220F">
        <w:rPr>
          <w:rStyle w:val="FootnoteReference"/>
          <w:vertAlign w:val="superscript"/>
        </w:rPr>
        <w:footnoteRef/>
      </w:r>
      <w:r>
        <w:t xml:space="preserve"> An RENP shall not perform a REN on the following documents:  1) a self-proved will executed pursuant to Article 4A of Chapter 31 of the General Statutes; 2) a revocable or irrevocable trust or any other document amending the same, except for certification of trust or similar document; 3) a death beneficiary form that requires an acknowledgment; 4) a codicil to a will; 5) any document related to the relinquishment of parental rights under Article 3 of Chapter 48 of the General Statutes; or 6) mail-in absentee ballot issued under Article 20 of Chapter 163 of the General Statutes.  G.S. 10B-134.3(c).  The prohibitions described above do not apply when, at the time the REN is performed, the remotely located principal is outside the United States and physically on the military installation or vessel named in the military orders assigning the member to active duty for more than 120 days, provided the remotely located principal is a member, spouse of a member, or dependent of the member of the Armed Forces of the United States.  G.S. 10B-134.1(10)b.</w:t>
      </w:r>
    </w:p>
  </w:footnote>
  <w:footnote w:id="53">
    <w:p w:rsidR="003128A5" w:rsidRDefault="003128A5">
      <w:pPr>
        <w:pStyle w:val="FootnoteText"/>
      </w:pPr>
      <w:r w:rsidRPr="00087840">
        <w:rPr>
          <w:rStyle w:val="FootnoteReference"/>
          <w:vertAlign w:val="superscript"/>
        </w:rPr>
        <w:footnoteRef/>
      </w:r>
      <w:r w:rsidRPr="00087840">
        <w:rPr>
          <w:rStyle w:val="FootnoteReference"/>
          <w:vertAlign w:val="superscript"/>
        </w:rPr>
        <w:t xml:space="preserve"> </w:t>
      </w:r>
      <w:r>
        <w:t xml:space="preserve">G.S. </w:t>
      </w:r>
      <w:r w:rsidRPr="00611EF3">
        <w:t>10B</w:t>
      </w:r>
      <w:r>
        <w:t>-134.9(a)</w:t>
      </w:r>
      <w:r w:rsidRPr="00611EF3">
        <w:t>.</w:t>
      </w:r>
      <w:r>
        <w:t xml:space="preserve">  </w:t>
      </w:r>
    </w:p>
  </w:footnote>
  <w:footnote w:id="54">
    <w:p w:rsidR="003128A5" w:rsidRPr="00D853A4" w:rsidRDefault="003128A5" w:rsidP="00D753AE">
      <w:pPr>
        <w:rPr>
          <w:snapToGrid/>
          <w:sz w:val="20"/>
        </w:rPr>
      </w:pPr>
      <w:r w:rsidRPr="00B24D80">
        <w:rPr>
          <w:rStyle w:val="FootnoteReference"/>
          <w:snapToGrid/>
          <w:sz w:val="20"/>
          <w:vertAlign w:val="superscript"/>
        </w:rPr>
        <w:footnoteRef/>
      </w:r>
      <w:r>
        <w:rPr>
          <w:snapToGrid/>
          <w:sz w:val="20"/>
        </w:rPr>
        <w:t xml:space="preserve"> G.S.</w:t>
      </w:r>
      <w:r w:rsidRPr="00087840">
        <w:rPr>
          <w:snapToGrid/>
          <w:sz w:val="20"/>
        </w:rPr>
        <w:t xml:space="preserve"> 10B-134.11(a). </w:t>
      </w:r>
      <w:r w:rsidRPr="00B24D80">
        <w:rPr>
          <w:snapToGrid/>
          <w:sz w:val="20"/>
        </w:rPr>
        <w:t xml:space="preserve"> </w:t>
      </w:r>
      <w:r w:rsidRPr="00D853A4">
        <w:rPr>
          <w:snapToGrid/>
          <w:sz w:val="20"/>
        </w:rPr>
        <w:t xml:space="preserve">RENA states the identity of the remotely located principal shall </w:t>
      </w:r>
      <w:r>
        <w:rPr>
          <w:snapToGrid/>
          <w:sz w:val="20"/>
        </w:rPr>
        <w:t xml:space="preserve">be </w:t>
      </w:r>
      <w:r w:rsidRPr="00D853A4">
        <w:rPr>
          <w:snapToGrid/>
          <w:sz w:val="20"/>
        </w:rPr>
        <w:t xml:space="preserve">verified through (a) personal knowledge; or (b) a combination of (i) credential analysis, (ii) identity proofing, and (iii) comparing the physical appearance of the remotely located principal to acceptable documentary descriptions of the person.  </w:t>
      </w:r>
      <w:r>
        <w:rPr>
          <w:snapToGrid/>
          <w:sz w:val="20"/>
        </w:rPr>
        <w:t>G.S.</w:t>
      </w:r>
      <w:r w:rsidRPr="00D853A4">
        <w:rPr>
          <w:snapToGrid/>
          <w:sz w:val="20"/>
        </w:rPr>
        <w:t xml:space="preserve"> 10B-134.11(a).  As described </w:t>
      </w:r>
      <w:r>
        <w:rPr>
          <w:snapToGrid/>
          <w:sz w:val="20"/>
        </w:rPr>
        <w:t xml:space="preserve">in </w:t>
      </w:r>
      <w:r w:rsidRPr="00D853A4">
        <w:rPr>
          <w:snapToGrid/>
          <w:sz w:val="20"/>
        </w:rPr>
        <w:t xml:space="preserve">Section </w:t>
      </w:r>
      <w:r>
        <w:rPr>
          <w:snapToGrid/>
          <w:sz w:val="20"/>
        </w:rPr>
        <w:t>C</w:t>
      </w:r>
      <w:r w:rsidRPr="00D853A4">
        <w:rPr>
          <w:snapToGrid/>
          <w:sz w:val="20"/>
        </w:rPr>
        <w:t xml:space="preserve"> above, it is possible that a credible witness may also be a permissible means of verifying the identity of a remotely located principal.</w:t>
      </w:r>
    </w:p>
  </w:footnote>
  <w:footnote w:id="55">
    <w:p w:rsidR="003128A5" w:rsidRDefault="003128A5" w:rsidP="00CA5AD6">
      <w:pPr>
        <w:pStyle w:val="FootnoteText"/>
      </w:pPr>
      <w:r w:rsidRPr="006033BF">
        <w:rPr>
          <w:rStyle w:val="FootnoteReference"/>
          <w:vertAlign w:val="superscript"/>
        </w:rPr>
        <w:footnoteRef/>
      </w:r>
      <w:r w:rsidRPr="006033BF">
        <w:rPr>
          <w:rStyle w:val="FootnoteReference"/>
          <w:vertAlign w:val="superscript"/>
        </w:rPr>
        <w:t xml:space="preserve"> </w:t>
      </w:r>
      <w:r>
        <w:t>G.S.</w:t>
      </w:r>
      <w:r w:rsidRPr="00686370">
        <w:t xml:space="preserve"> 10B-134.1(8)</w:t>
      </w:r>
    </w:p>
  </w:footnote>
  <w:footnote w:id="56">
    <w:p w:rsidR="003128A5" w:rsidRDefault="003128A5" w:rsidP="00CA5AD6">
      <w:pPr>
        <w:pStyle w:val="FootnoteText"/>
      </w:pPr>
      <w:r w:rsidRPr="006033BF">
        <w:rPr>
          <w:rStyle w:val="FootnoteReference"/>
          <w:vertAlign w:val="superscript"/>
        </w:rPr>
        <w:footnoteRef/>
      </w:r>
      <w:r>
        <w:t xml:space="preserve"> G.S.</w:t>
      </w:r>
      <w:r w:rsidRPr="00686370">
        <w:t xml:space="preserve"> 10B-134.9(a)</w:t>
      </w:r>
    </w:p>
  </w:footnote>
  <w:footnote w:id="57">
    <w:p w:rsidR="003128A5" w:rsidRDefault="003128A5" w:rsidP="00B2303F">
      <w:pPr>
        <w:pStyle w:val="FootnoteText"/>
      </w:pPr>
      <w:r w:rsidRPr="006033BF">
        <w:rPr>
          <w:rStyle w:val="FootnoteReference"/>
          <w:vertAlign w:val="superscript"/>
        </w:rPr>
        <w:footnoteRef/>
      </w:r>
      <w:r>
        <w:t xml:space="preserve"> G.S.</w:t>
      </w:r>
      <w:r w:rsidRPr="00686370">
        <w:t xml:space="preserve"> 10B-134.15(b), 10B-134.13</w:t>
      </w:r>
    </w:p>
  </w:footnote>
  <w:footnote w:id="58">
    <w:p w:rsidR="003128A5" w:rsidRDefault="003128A5" w:rsidP="00CA5AD6">
      <w:pPr>
        <w:pStyle w:val="FootnoteText"/>
      </w:pPr>
      <w:r w:rsidRPr="006033BF">
        <w:rPr>
          <w:rStyle w:val="FootnoteReference"/>
          <w:vertAlign w:val="superscript"/>
        </w:rPr>
        <w:footnoteRef/>
      </w:r>
      <w:r w:rsidRPr="00611EF3">
        <w:t xml:space="preserve"> </w:t>
      </w:r>
      <w:r>
        <w:t>G.S.</w:t>
      </w:r>
      <w:r w:rsidRPr="00611EF3">
        <w:t xml:space="preserve"> 10B-134.13.</w:t>
      </w:r>
    </w:p>
  </w:footnote>
  <w:footnote w:id="59">
    <w:p w:rsidR="003128A5" w:rsidRPr="001B364A" w:rsidRDefault="003128A5" w:rsidP="001B364A">
      <w:pPr>
        <w:pStyle w:val="FootnoteText"/>
        <w:rPr>
          <w:vertAlign w:val="superscript"/>
        </w:rPr>
      </w:pPr>
      <w:r w:rsidRPr="001B364A">
        <w:rPr>
          <w:rStyle w:val="FootnoteReference"/>
          <w:vertAlign w:val="superscript"/>
        </w:rPr>
        <w:footnoteRef/>
      </w:r>
      <w:r w:rsidRPr="001B364A">
        <w:rPr>
          <w:vertAlign w:val="superscript"/>
        </w:rPr>
        <w:t xml:space="preserve"> </w:t>
      </w:r>
      <w:r>
        <w:t>G.S.</w:t>
      </w:r>
      <w:r w:rsidRPr="00544450">
        <w:t xml:space="preserve"> 10B-134.</w:t>
      </w:r>
      <w:r>
        <w:t>13.</w:t>
      </w:r>
    </w:p>
  </w:footnote>
  <w:footnote w:id="60">
    <w:p w:rsidR="003128A5" w:rsidRDefault="003128A5" w:rsidP="00CA5AD6">
      <w:pPr>
        <w:pStyle w:val="FootnoteText"/>
      </w:pPr>
      <w:r w:rsidRPr="006033BF">
        <w:rPr>
          <w:rStyle w:val="FootnoteReference"/>
          <w:vertAlign w:val="superscript"/>
        </w:rPr>
        <w:footnoteRef/>
      </w:r>
      <w:r w:rsidRPr="006033BF">
        <w:rPr>
          <w:rStyle w:val="FootnoteReference"/>
          <w:vertAlign w:val="superscript"/>
        </w:rPr>
        <w:t xml:space="preserve"> </w:t>
      </w:r>
      <w:r>
        <w:t>G.S.</w:t>
      </w:r>
      <w:r w:rsidRPr="00544450">
        <w:t xml:space="preserve"> 10B-134.15(b)(3).</w:t>
      </w:r>
    </w:p>
  </w:footnote>
  <w:footnote w:id="61">
    <w:p w:rsidR="003128A5" w:rsidRPr="001B364A" w:rsidRDefault="003128A5">
      <w:pPr>
        <w:pStyle w:val="FootnoteText"/>
        <w:rPr>
          <w:vertAlign w:val="superscript"/>
        </w:rPr>
      </w:pPr>
      <w:r w:rsidRPr="001B364A">
        <w:rPr>
          <w:rStyle w:val="FootnoteReference"/>
          <w:vertAlign w:val="superscript"/>
        </w:rPr>
        <w:footnoteRef/>
      </w:r>
      <w:r w:rsidRPr="001B364A">
        <w:rPr>
          <w:vertAlign w:val="superscript"/>
        </w:rPr>
        <w:t xml:space="preserve"> </w:t>
      </w:r>
      <w:r>
        <w:t>G.S.</w:t>
      </w:r>
      <w:r w:rsidRPr="00544450">
        <w:t xml:space="preserve"> 10B-134.</w:t>
      </w:r>
      <w:r>
        <w:t>13.</w:t>
      </w:r>
    </w:p>
  </w:footnote>
  <w:footnote w:id="62">
    <w:p w:rsidR="003128A5" w:rsidRPr="00544450" w:rsidRDefault="003128A5" w:rsidP="00CA5AD6">
      <w:pPr>
        <w:pStyle w:val="FootnoteText"/>
      </w:pPr>
      <w:r w:rsidRPr="006033BF">
        <w:rPr>
          <w:rStyle w:val="FootnoteReference"/>
          <w:vertAlign w:val="superscript"/>
        </w:rPr>
        <w:footnoteRef/>
      </w:r>
      <w:r w:rsidRPr="006033BF">
        <w:rPr>
          <w:rStyle w:val="FootnoteReference"/>
          <w:vertAlign w:val="superscript"/>
        </w:rPr>
        <w:t xml:space="preserve"> </w:t>
      </w:r>
      <w:r>
        <w:t>G.S.</w:t>
      </w:r>
      <w:r w:rsidRPr="00544450">
        <w:t xml:space="preserve"> 10B-134.15(b).</w:t>
      </w:r>
    </w:p>
  </w:footnote>
  <w:footnote w:id="63">
    <w:p w:rsidR="003128A5" w:rsidRPr="00544450" w:rsidRDefault="003128A5" w:rsidP="00CA5AD6">
      <w:pPr>
        <w:pStyle w:val="FootnoteText"/>
      </w:pPr>
      <w:r w:rsidRPr="006033BF">
        <w:rPr>
          <w:rStyle w:val="FootnoteReference"/>
          <w:vertAlign w:val="superscript"/>
        </w:rPr>
        <w:footnoteRef/>
      </w:r>
      <w:r w:rsidRPr="006033BF">
        <w:rPr>
          <w:rStyle w:val="FootnoteReference"/>
          <w:vertAlign w:val="superscript"/>
        </w:rPr>
        <w:t xml:space="preserve"> </w:t>
      </w:r>
      <w:r>
        <w:t>G.S.</w:t>
      </w:r>
      <w:r w:rsidRPr="00544450">
        <w:t xml:space="preserve"> 10B-134.15(b)(3).</w:t>
      </w:r>
    </w:p>
  </w:footnote>
  <w:footnote w:id="64">
    <w:p w:rsidR="003128A5" w:rsidRPr="00544450" w:rsidRDefault="003128A5" w:rsidP="00CA5AD6">
      <w:pPr>
        <w:pStyle w:val="FootnoteText"/>
      </w:pPr>
      <w:r w:rsidRPr="006033BF">
        <w:rPr>
          <w:rStyle w:val="FootnoteReference"/>
          <w:vertAlign w:val="superscript"/>
        </w:rPr>
        <w:footnoteRef/>
      </w:r>
      <w:r w:rsidRPr="006033BF">
        <w:rPr>
          <w:rStyle w:val="FootnoteReference"/>
          <w:vertAlign w:val="superscript"/>
        </w:rPr>
        <w:t xml:space="preserve"> </w:t>
      </w:r>
      <w:r>
        <w:t>G.S.</w:t>
      </w:r>
      <w:r w:rsidRPr="00544450">
        <w:t xml:space="preserve"> </w:t>
      </w:r>
      <w:r>
        <w:t>1</w:t>
      </w:r>
      <w:r w:rsidRPr="00544450">
        <w:t>0B-134.15</w:t>
      </w:r>
      <w:r>
        <w:t>.</w:t>
      </w:r>
    </w:p>
  </w:footnote>
  <w:footnote w:id="65">
    <w:p w:rsidR="003128A5" w:rsidRPr="00544450" w:rsidRDefault="003128A5" w:rsidP="00CA5AD6">
      <w:pPr>
        <w:pStyle w:val="FootnoteText"/>
      </w:pPr>
      <w:r w:rsidRPr="006033BF">
        <w:rPr>
          <w:rStyle w:val="FootnoteReference"/>
          <w:vertAlign w:val="superscript"/>
        </w:rPr>
        <w:footnoteRef/>
      </w:r>
      <w:r>
        <w:t xml:space="preserve"> G.S.</w:t>
      </w:r>
      <w:r w:rsidRPr="00544450">
        <w:t xml:space="preserve"> 10B-134.15(b)(5).</w:t>
      </w:r>
    </w:p>
  </w:footnote>
  <w:footnote w:id="66">
    <w:p w:rsidR="003128A5" w:rsidRDefault="003128A5" w:rsidP="00CA5AD6">
      <w:pPr>
        <w:pStyle w:val="FootnoteText"/>
      </w:pPr>
      <w:r w:rsidRPr="006033BF">
        <w:rPr>
          <w:rStyle w:val="FootnoteReference"/>
          <w:vertAlign w:val="superscript"/>
        </w:rPr>
        <w:footnoteRef/>
      </w:r>
      <w:r w:rsidRPr="00544450">
        <w:t xml:space="preserve"> </w:t>
      </w:r>
      <w:r w:rsidRPr="00544450">
        <w:rPr>
          <w:i/>
        </w:rPr>
        <w:t xml:space="preserve">Compare </w:t>
      </w:r>
      <w:r>
        <w:t>G.S.</w:t>
      </w:r>
      <w:r w:rsidRPr="00544450">
        <w:t xml:space="preserve"> 10B-134.15(b)(5)</w:t>
      </w:r>
      <w:r w:rsidRPr="00E14922">
        <w:t xml:space="preserve"> and (d).</w:t>
      </w:r>
    </w:p>
  </w:footnote>
  <w:footnote w:id="67">
    <w:p w:rsidR="003128A5" w:rsidRDefault="003128A5">
      <w:pPr>
        <w:pStyle w:val="FootnoteText"/>
      </w:pPr>
      <w:r w:rsidRPr="00C06BFB">
        <w:rPr>
          <w:rStyle w:val="FootnoteReference"/>
          <w:vertAlign w:val="superscript"/>
        </w:rPr>
        <w:footnoteRef/>
      </w:r>
      <w:r>
        <w:t xml:space="preserve"> G.S. 10B-134.17(a)(1).</w:t>
      </w:r>
    </w:p>
  </w:footnote>
  <w:footnote w:id="68">
    <w:p w:rsidR="003128A5" w:rsidRPr="00AA53A9" w:rsidRDefault="003128A5">
      <w:pPr>
        <w:pStyle w:val="FootnoteText"/>
        <w:rPr>
          <w:vertAlign w:val="superscript"/>
        </w:rPr>
      </w:pPr>
      <w:r w:rsidRPr="00AA53A9">
        <w:rPr>
          <w:rStyle w:val="FootnoteReference"/>
          <w:vertAlign w:val="superscript"/>
        </w:rPr>
        <w:footnoteRef/>
      </w:r>
      <w:r w:rsidRPr="00AA53A9">
        <w:rPr>
          <w:vertAlign w:val="superscript"/>
        </w:rPr>
        <w:t xml:space="preserve"> </w:t>
      </w:r>
      <w:r>
        <w:t>G.S. 10B-134.15(b)(5).</w:t>
      </w:r>
    </w:p>
  </w:footnote>
  <w:footnote w:id="69">
    <w:p w:rsidR="003128A5" w:rsidRDefault="003128A5" w:rsidP="00CA5AD6">
      <w:pPr>
        <w:pStyle w:val="FootnoteText"/>
      </w:pPr>
      <w:r w:rsidRPr="006033BF">
        <w:rPr>
          <w:rStyle w:val="FootnoteReference"/>
          <w:vertAlign w:val="superscript"/>
        </w:rPr>
        <w:footnoteRef/>
      </w:r>
      <w:r w:rsidRPr="006033BF">
        <w:rPr>
          <w:rStyle w:val="FootnoteReference"/>
          <w:vertAlign w:val="superscript"/>
        </w:rPr>
        <w:t xml:space="preserve"> </w:t>
      </w:r>
      <w:r>
        <w:t>G.S. 10B-55(b).</w:t>
      </w:r>
    </w:p>
  </w:footnote>
  <w:footnote w:id="70">
    <w:p w:rsidR="003128A5" w:rsidRDefault="003128A5" w:rsidP="00CA5AD6">
      <w:pPr>
        <w:pStyle w:val="FootnoteText"/>
      </w:pPr>
      <w:r w:rsidRPr="006033BF">
        <w:rPr>
          <w:rStyle w:val="FootnoteReference"/>
          <w:vertAlign w:val="superscript"/>
        </w:rPr>
        <w:footnoteRef/>
      </w:r>
      <w:r>
        <w:t xml:space="preserve"> G.S. </w:t>
      </w:r>
      <w:r w:rsidRPr="00CF22AF">
        <w:t>10B-134.15(b)(5), (d).</w:t>
      </w:r>
    </w:p>
  </w:footnote>
  <w:footnote w:id="71">
    <w:p w:rsidR="003128A5" w:rsidRPr="00300BE5" w:rsidRDefault="003128A5" w:rsidP="00CA5AD6">
      <w:pPr>
        <w:pStyle w:val="FootnoteText"/>
      </w:pPr>
      <w:r w:rsidRPr="006033BF">
        <w:rPr>
          <w:rStyle w:val="FootnoteReference"/>
          <w:vertAlign w:val="superscript"/>
        </w:rPr>
        <w:footnoteRef/>
      </w:r>
      <w:r w:rsidRPr="00300BE5">
        <w:t xml:space="preserve"> </w:t>
      </w:r>
      <w:r>
        <w:t xml:space="preserve">G.S. </w:t>
      </w:r>
      <w:r w:rsidRPr="00300BE5">
        <w:t>10B-134.17(a)(1).</w:t>
      </w:r>
    </w:p>
  </w:footnote>
  <w:footnote w:id="72">
    <w:p w:rsidR="003128A5" w:rsidRPr="00300BE5" w:rsidRDefault="003128A5" w:rsidP="00CA5AD6">
      <w:pPr>
        <w:pStyle w:val="FootnoteText"/>
      </w:pPr>
      <w:r w:rsidRPr="006033BF">
        <w:rPr>
          <w:rStyle w:val="FootnoteReference"/>
          <w:vertAlign w:val="superscript"/>
        </w:rPr>
        <w:footnoteRef/>
      </w:r>
      <w:r w:rsidRPr="00300BE5">
        <w:t xml:space="preserve"> </w:t>
      </w:r>
      <w:r>
        <w:t xml:space="preserve">G.S. </w:t>
      </w:r>
      <w:r w:rsidRPr="00300BE5">
        <w:t>10B-134.7(a)(1).</w:t>
      </w:r>
    </w:p>
  </w:footnote>
  <w:footnote w:id="73">
    <w:p w:rsidR="003128A5" w:rsidRPr="005E0B57" w:rsidRDefault="003128A5">
      <w:pPr>
        <w:pStyle w:val="FootnoteText"/>
        <w:rPr>
          <w:vertAlign w:val="superscript"/>
        </w:rPr>
      </w:pPr>
      <w:r w:rsidRPr="005E0B57">
        <w:rPr>
          <w:rStyle w:val="FootnoteReference"/>
          <w:vertAlign w:val="superscript"/>
        </w:rPr>
        <w:footnoteRef/>
      </w:r>
      <w:r>
        <w:t xml:space="preserve"> G.S. </w:t>
      </w:r>
      <w:r w:rsidRPr="0004294E">
        <w:t>10B-134.</w:t>
      </w:r>
      <w:r>
        <w:t>9(d).</w:t>
      </w:r>
    </w:p>
  </w:footnote>
  <w:footnote w:id="74">
    <w:p w:rsidR="003128A5" w:rsidRDefault="003128A5" w:rsidP="00CA5AD6">
      <w:pPr>
        <w:pStyle w:val="FootnoteText"/>
      </w:pPr>
      <w:r w:rsidRPr="006033BF">
        <w:rPr>
          <w:rStyle w:val="FootnoteReference"/>
          <w:vertAlign w:val="superscript"/>
        </w:rPr>
        <w:footnoteRef/>
      </w:r>
      <w:r w:rsidRPr="006033BF">
        <w:rPr>
          <w:rStyle w:val="FootnoteReference"/>
          <w:vertAlign w:val="superscript"/>
        </w:rPr>
        <w:t xml:space="preserve"> </w:t>
      </w:r>
      <w:r>
        <w:t xml:space="preserve">G.S. </w:t>
      </w:r>
      <w:r w:rsidRPr="0004294E">
        <w:t>10B-134.9(d).</w:t>
      </w:r>
    </w:p>
  </w:footnote>
  <w:footnote w:id="75">
    <w:p w:rsidR="003128A5" w:rsidRPr="005E0B57" w:rsidRDefault="003128A5">
      <w:pPr>
        <w:pStyle w:val="FootnoteText"/>
        <w:rPr>
          <w:vertAlign w:val="superscript"/>
        </w:rPr>
      </w:pPr>
      <w:r w:rsidRPr="005E0B57">
        <w:rPr>
          <w:rStyle w:val="FootnoteReference"/>
          <w:vertAlign w:val="superscript"/>
        </w:rPr>
        <w:footnoteRef/>
      </w:r>
      <w:r w:rsidRPr="005E0B57">
        <w:rPr>
          <w:vertAlign w:val="superscript"/>
        </w:rPr>
        <w:t xml:space="preserve"> </w:t>
      </w:r>
      <w:r>
        <w:t xml:space="preserve">G.S. </w:t>
      </w:r>
      <w:r w:rsidRPr="0004294E">
        <w:t>10B-134</w:t>
      </w:r>
      <w:r>
        <w:t>.9.(d)(3).</w:t>
      </w:r>
    </w:p>
  </w:footnote>
  <w:footnote w:id="76">
    <w:p w:rsidR="003128A5" w:rsidRPr="00D928C4" w:rsidRDefault="003128A5" w:rsidP="00CA5AD6">
      <w:pPr>
        <w:pStyle w:val="FootnoteText"/>
      </w:pPr>
      <w:r w:rsidRPr="006033BF">
        <w:rPr>
          <w:rStyle w:val="FootnoteReference"/>
          <w:vertAlign w:val="superscript"/>
        </w:rPr>
        <w:footnoteRef/>
      </w:r>
      <w:r w:rsidRPr="006033BF">
        <w:rPr>
          <w:rStyle w:val="FootnoteReference"/>
          <w:vertAlign w:val="superscript"/>
        </w:rPr>
        <w:t xml:space="preserve"> </w:t>
      </w:r>
      <w:r>
        <w:t>G.S.</w:t>
      </w:r>
      <w:r w:rsidRPr="00D928C4">
        <w:t xml:space="preserve"> 10B-134.19.</w:t>
      </w:r>
    </w:p>
  </w:footnote>
  <w:footnote w:id="77">
    <w:p w:rsidR="003128A5" w:rsidRDefault="003128A5" w:rsidP="00CA5AD6">
      <w:pPr>
        <w:pStyle w:val="FootnoteText"/>
      </w:pPr>
      <w:r w:rsidRPr="006033BF">
        <w:rPr>
          <w:rStyle w:val="FootnoteReference"/>
          <w:vertAlign w:val="superscript"/>
        </w:rPr>
        <w:footnoteRef/>
      </w:r>
      <w:r w:rsidRPr="006033BF">
        <w:rPr>
          <w:rStyle w:val="FootnoteReference"/>
          <w:vertAlign w:val="superscript"/>
        </w:rPr>
        <w:t xml:space="preserve"> </w:t>
      </w:r>
      <w:r>
        <w:t>G.S.</w:t>
      </w:r>
      <w:r w:rsidRPr="00D928C4">
        <w:t xml:space="preserve"> 10B-134.3(c), (e).</w:t>
      </w:r>
    </w:p>
  </w:footnote>
  <w:footnote w:id="78">
    <w:p w:rsidR="003128A5" w:rsidRDefault="003128A5">
      <w:pPr>
        <w:pStyle w:val="FootnoteText"/>
      </w:pPr>
      <w:r w:rsidRPr="00637B8C">
        <w:rPr>
          <w:rStyle w:val="FootnoteReference"/>
          <w:vertAlign w:val="superscript"/>
        </w:rPr>
        <w:footnoteRef/>
      </w:r>
      <w:r w:rsidRPr="00637B8C">
        <w:rPr>
          <w:rStyle w:val="FootnoteReference"/>
          <w:vertAlign w:val="superscript"/>
        </w:rPr>
        <w:t xml:space="preserve"> </w:t>
      </w:r>
      <w:r>
        <w:t xml:space="preserve">G.S. 10B-134.3(c).  </w:t>
      </w:r>
    </w:p>
  </w:footnote>
  <w:footnote w:id="79">
    <w:p w:rsidR="003128A5" w:rsidRDefault="003128A5">
      <w:pPr>
        <w:pStyle w:val="FootnoteText"/>
      </w:pPr>
      <w:r w:rsidRPr="00637B8C">
        <w:rPr>
          <w:rStyle w:val="FootnoteReference"/>
          <w:vertAlign w:val="superscript"/>
        </w:rPr>
        <w:footnoteRef/>
      </w:r>
      <w:r w:rsidRPr="00637B8C">
        <w:rPr>
          <w:rStyle w:val="FootnoteReference"/>
          <w:vertAlign w:val="superscript"/>
        </w:rPr>
        <w:t xml:space="preserve"> </w:t>
      </w:r>
      <w:r w:rsidRPr="004C6B1E">
        <w:t>G.S. 10B-134-3(d</w:t>
      </w:r>
      <w:r>
        <w:rPr>
          <w:i/>
        </w:rPr>
        <w:t>), incorporating</w:t>
      </w:r>
      <w:r>
        <w:t xml:space="preserve"> G.S. 10B-134.1(10)b.</w:t>
      </w:r>
    </w:p>
  </w:footnote>
  <w:footnote w:id="80">
    <w:p w:rsidR="003128A5" w:rsidRPr="00300BE5" w:rsidRDefault="003128A5" w:rsidP="00CA5AD6">
      <w:pPr>
        <w:pStyle w:val="FootnoteText"/>
      </w:pPr>
      <w:r w:rsidRPr="006033BF">
        <w:rPr>
          <w:rStyle w:val="FootnoteReference"/>
          <w:vertAlign w:val="superscript"/>
        </w:rPr>
        <w:footnoteRef/>
      </w:r>
      <w:r w:rsidRPr="006033BF">
        <w:rPr>
          <w:rStyle w:val="FootnoteReference"/>
          <w:vertAlign w:val="superscript"/>
        </w:rPr>
        <w:t xml:space="preserve"> </w:t>
      </w:r>
      <w:r>
        <w:t xml:space="preserve">G.S. </w:t>
      </w:r>
      <w:r w:rsidRPr="00300BE5">
        <w:t>10B-134.1(1).</w:t>
      </w:r>
    </w:p>
  </w:footnote>
  <w:footnote w:id="81">
    <w:p w:rsidR="003128A5" w:rsidRDefault="003128A5" w:rsidP="00CA5AD6">
      <w:pPr>
        <w:pStyle w:val="FootnoteText"/>
      </w:pPr>
      <w:r w:rsidRPr="006033BF">
        <w:rPr>
          <w:rStyle w:val="FootnoteReference"/>
          <w:vertAlign w:val="superscript"/>
        </w:rPr>
        <w:footnoteRef/>
      </w:r>
      <w:r>
        <w:t xml:space="preserve"> G.S. 168A-3(10), </w:t>
      </w:r>
      <w:r w:rsidRPr="00BC2002">
        <w:t>29 U.S.C. 794</w:t>
      </w:r>
      <w:r>
        <w:t xml:space="preserve">, </w:t>
      </w:r>
      <w:r w:rsidRPr="00870718">
        <w:t>42 U.S.C. 12101.</w:t>
      </w:r>
    </w:p>
  </w:footnote>
  <w:footnote w:id="82">
    <w:p w:rsidR="003128A5" w:rsidRPr="00300BE5" w:rsidRDefault="003128A5" w:rsidP="00CA5AD6">
      <w:pPr>
        <w:pStyle w:val="FootnoteText"/>
      </w:pPr>
      <w:r w:rsidRPr="006033BF">
        <w:rPr>
          <w:rStyle w:val="FootnoteReference"/>
          <w:vertAlign w:val="superscript"/>
        </w:rPr>
        <w:footnoteRef/>
      </w:r>
      <w:r w:rsidRPr="00300BE5">
        <w:t xml:space="preserve"> </w:t>
      </w:r>
      <w:r>
        <w:t>G.S.</w:t>
      </w:r>
      <w:r w:rsidRPr="00300BE5">
        <w:t xml:space="preserve"> 134.19</w:t>
      </w:r>
      <w:r>
        <w:t>.</w:t>
      </w:r>
    </w:p>
  </w:footnote>
  <w:footnote w:id="83">
    <w:p w:rsidR="003128A5" w:rsidRPr="00300BE5" w:rsidRDefault="003128A5" w:rsidP="00CA5AD6">
      <w:pPr>
        <w:pStyle w:val="FootnoteText"/>
      </w:pPr>
      <w:r w:rsidRPr="006033BF">
        <w:rPr>
          <w:rStyle w:val="FootnoteReference"/>
          <w:vertAlign w:val="superscript"/>
        </w:rPr>
        <w:footnoteRef/>
      </w:r>
      <w:r w:rsidRPr="00300BE5">
        <w:t xml:space="preserve"> </w:t>
      </w:r>
      <w:r>
        <w:t xml:space="preserve">G.S. </w:t>
      </w:r>
      <w:r w:rsidRPr="00300BE5">
        <w:t>10B-134.5(a)(5).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A5" w:rsidRPr="003A4CFD" w:rsidRDefault="003128A5" w:rsidP="003A4CFD">
    <w:pPr>
      <w:pStyle w:val="Header"/>
      <w:jc w:val="right"/>
      <w:rPr>
        <w:sz w:val="20"/>
      </w:rPr>
    </w:pPr>
    <w:r>
      <w:rPr>
        <w:sz w:val="20"/>
      </w:rPr>
      <w:t>1</w:t>
    </w:r>
    <w:r w:rsidR="0095350B">
      <w:rPr>
        <w:sz w:val="20"/>
      </w:rPr>
      <w:t>0/21</w:t>
    </w:r>
    <w:r>
      <w:rPr>
        <w:sz w:val="20"/>
      </w:rPr>
      <w:t>/2022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A5" w:rsidRDefault="005B17FF" w:rsidP="003A4CFD">
    <w:pPr>
      <w:ind w:left="6750" w:hanging="6750"/>
      <w:jc w:val="right"/>
      <w:rPr>
        <w:sz w:val="20"/>
      </w:rPr>
    </w:pPr>
    <w:r>
      <w:rPr>
        <w:sz w:val="20"/>
      </w:rPr>
      <w:t>10/</w:t>
    </w:r>
    <w:r w:rsidR="0095350B">
      <w:rPr>
        <w:sz w:val="20"/>
      </w:rPr>
      <w:t>21</w:t>
    </w:r>
    <w:r>
      <w:rPr>
        <w:sz w:val="20"/>
      </w:rPr>
      <w:t>/2022</w:t>
    </w:r>
  </w:p>
  <w:p w:rsidR="003128A5" w:rsidRDefault="003128A5" w:rsidP="009B52DD">
    <w:pPr>
      <w:ind w:left="6750" w:hanging="6750"/>
      <w:jc w:val="center"/>
      <w:rPr>
        <w:sz w:val="20"/>
      </w:rPr>
    </w:pPr>
    <w:r>
      <w:rPr>
        <w:noProof/>
        <w:snapToGrid/>
        <w:sz w:val="20"/>
      </w:rPr>
      <w:drawing>
        <wp:inline distT="0" distB="0" distL="0" distR="0" wp14:anchorId="315632AE" wp14:editId="52E30897">
          <wp:extent cx="796925" cy="809625"/>
          <wp:effectExtent l="19050" t="0" r="3175" b="0"/>
          <wp:docPr id="3" name="Picture 3" descr="SO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SSEAL"/>
                  <pic:cNvPicPr>
                    <a:picLocks noChangeAspect="1" noChangeArrowheads="1"/>
                  </pic:cNvPicPr>
                </pic:nvPicPr>
                <pic:blipFill>
                  <a:blip r:embed="rId1"/>
                  <a:srcRect/>
                  <a:stretch>
                    <a:fillRect/>
                  </a:stretch>
                </pic:blipFill>
                <pic:spPr bwMode="auto">
                  <a:xfrm>
                    <a:off x="0" y="0"/>
                    <a:ext cx="796925" cy="809625"/>
                  </a:xfrm>
                  <a:prstGeom prst="rect">
                    <a:avLst/>
                  </a:prstGeom>
                  <a:noFill/>
                  <a:ln w="9525">
                    <a:noFill/>
                    <a:miter lim="800000"/>
                    <a:headEnd/>
                    <a:tailEnd/>
                  </a:ln>
                </pic:spPr>
              </pic:pic>
            </a:graphicData>
          </a:graphic>
        </wp:inline>
      </w:drawing>
    </w:r>
  </w:p>
  <w:p w:rsidR="003128A5" w:rsidRPr="00E47592" w:rsidRDefault="003128A5">
    <w:pPr>
      <w:rPr>
        <w:sz w:val="8"/>
        <w:szCs w:val="8"/>
      </w:rPr>
    </w:pPr>
  </w:p>
  <w:p w:rsidR="003128A5" w:rsidRDefault="003128A5" w:rsidP="009B52DD">
    <w:pPr>
      <w:pStyle w:val="Heading1"/>
      <w:ind w:left="0" w:right="0"/>
      <w:rPr>
        <w:i/>
        <w:sz w:val="24"/>
      </w:rPr>
    </w:pPr>
    <w:r>
      <w:rPr>
        <w:i/>
        <w:sz w:val="24"/>
      </w:rPr>
      <w:t>State of North Carolina</w:t>
    </w:r>
  </w:p>
  <w:p w:rsidR="003128A5" w:rsidRDefault="003128A5" w:rsidP="009B52DD">
    <w:pPr>
      <w:pStyle w:val="Heading2"/>
      <w:ind w:left="0" w:right="0" w:firstLine="0"/>
      <w:rPr>
        <w:b w:val="0"/>
        <w:i/>
        <w:sz w:val="24"/>
      </w:rPr>
    </w:pPr>
    <w:r>
      <w:rPr>
        <w:b w:val="0"/>
        <w:i/>
        <w:sz w:val="24"/>
      </w:rPr>
      <w:t>Department of the Secretary of State</w:t>
    </w:r>
  </w:p>
  <w:p w:rsidR="003128A5" w:rsidRPr="009B52DD" w:rsidRDefault="003128A5" w:rsidP="009B52DD">
    <w:pPr>
      <w:rPr>
        <w:sz w:val="16"/>
        <w:szCs w:val="16"/>
      </w:rPr>
    </w:pPr>
  </w:p>
  <w:p w:rsidR="003128A5" w:rsidRDefault="003128A5" w:rsidP="00721567">
    <w:pPr>
      <w:ind w:left="1440" w:hanging="1440"/>
      <w:rPr>
        <w:rFonts w:ascii="Arial" w:hAnsi="Arial"/>
        <w:i/>
        <w:sz w:val="16"/>
      </w:rPr>
    </w:pPr>
    <w:r>
      <w:rPr>
        <w:rFonts w:ascii="Arial" w:hAnsi="Arial"/>
        <w:smallCaps/>
        <w:sz w:val="16"/>
      </w:rPr>
      <w:t>Elaine F. Marshall</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r>
      <w:rPr>
        <w:rFonts w:ascii="Arial" w:hAnsi="Arial"/>
        <w:smallCaps/>
        <w:sz w:val="16"/>
      </w:rPr>
      <w:t>Ann B. Wall</w:t>
    </w:r>
  </w:p>
  <w:p w:rsidR="003128A5" w:rsidRPr="00E47592" w:rsidRDefault="003128A5" w:rsidP="00721567">
    <w:pPr>
      <w:pStyle w:val="Heading3"/>
      <w:ind w:right="0"/>
      <w:rPr>
        <w:i w:val="0"/>
        <w:caps/>
        <w:sz w:val="12"/>
      </w:rPr>
    </w:pPr>
    <w:r>
      <w:t xml:space="preserve">            </w:t>
    </w:r>
    <w:r>
      <w:tab/>
    </w:r>
    <w:r w:rsidRPr="00E47592">
      <w:rPr>
        <w:i w:val="0"/>
        <w:sz w:val="14"/>
      </w:rPr>
      <w:t>SECRETARY OF STATE</w:t>
    </w:r>
    <w:r>
      <w:rPr>
        <w:i w:val="0"/>
      </w:rPr>
      <w:tab/>
    </w:r>
    <w:r>
      <w:rPr>
        <w:i w:val="0"/>
      </w:rPr>
      <w:tab/>
    </w:r>
    <w:r>
      <w:rPr>
        <w:i w:val="0"/>
      </w:rPr>
      <w:tab/>
    </w:r>
    <w:r>
      <w:rPr>
        <w:i w:val="0"/>
      </w:rPr>
      <w:tab/>
    </w:r>
    <w:r>
      <w:rPr>
        <w:i w:val="0"/>
      </w:rPr>
      <w:tab/>
    </w:r>
    <w:r>
      <w:rPr>
        <w:i w:val="0"/>
      </w:rPr>
      <w:tab/>
    </w:r>
    <w:r>
      <w:rPr>
        <w:i w:val="0"/>
      </w:rPr>
      <w:tab/>
      <w:t xml:space="preserve">                                 </w:t>
    </w:r>
    <w:r w:rsidRPr="00E47592">
      <w:rPr>
        <w:i w:val="0"/>
        <w:caps/>
        <w:sz w:val="14"/>
      </w:rPr>
      <w:t>General Counsel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72F"/>
    <w:multiLevelType w:val="hybridMultilevel"/>
    <w:tmpl w:val="D8FE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97245"/>
    <w:multiLevelType w:val="hybridMultilevel"/>
    <w:tmpl w:val="2DAED1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A4E1A"/>
    <w:multiLevelType w:val="hybridMultilevel"/>
    <w:tmpl w:val="E4902C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1152B"/>
    <w:multiLevelType w:val="hybridMultilevel"/>
    <w:tmpl w:val="B48C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41276"/>
    <w:multiLevelType w:val="hybridMultilevel"/>
    <w:tmpl w:val="13D8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52280"/>
    <w:multiLevelType w:val="hybridMultilevel"/>
    <w:tmpl w:val="8C0413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73EE8"/>
    <w:multiLevelType w:val="hybridMultilevel"/>
    <w:tmpl w:val="00CC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51576"/>
    <w:multiLevelType w:val="hybridMultilevel"/>
    <w:tmpl w:val="0068CC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311A6D"/>
    <w:multiLevelType w:val="hybridMultilevel"/>
    <w:tmpl w:val="1D6055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4140B"/>
    <w:multiLevelType w:val="hybridMultilevel"/>
    <w:tmpl w:val="3A4E27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9098E"/>
    <w:multiLevelType w:val="hybridMultilevel"/>
    <w:tmpl w:val="1C2C465E"/>
    <w:lvl w:ilvl="0" w:tplc="0409000F">
      <w:start w:val="1"/>
      <w:numFmt w:val="decimal"/>
      <w:lvlText w:val="%1."/>
      <w:lvlJc w:val="left"/>
      <w:pPr>
        <w:ind w:left="720" w:hanging="360"/>
      </w:pPr>
    </w:lvl>
    <w:lvl w:ilvl="1" w:tplc="E9201ECA">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B27C6"/>
    <w:multiLevelType w:val="hybridMultilevel"/>
    <w:tmpl w:val="B7D0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E3EE6"/>
    <w:multiLevelType w:val="hybridMultilevel"/>
    <w:tmpl w:val="48BC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B1057"/>
    <w:multiLevelType w:val="hybridMultilevel"/>
    <w:tmpl w:val="0F3E20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CA5DF2"/>
    <w:multiLevelType w:val="hybridMultilevel"/>
    <w:tmpl w:val="8E361D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2451F"/>
    <w:multiLevelType w:val="hybridMultilevel"/>
    <w:tmpl w:val="01CAE4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B4806"/>
    <w:multiLevelType w:val="hybridMultilevel"/>
    <w:tmpl w:val="B0A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46780"/>
    <w:multiLevelType w:val="hybridMultilevel"/>
    <w:tmpl w:val="B7A019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A7C4E"/>
    <w:multiLevelType w:val="hybridMultilevel"/>
    <w:tmpl w:val="1FCAD6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F4F2ECD"/>
    <w:multiLevelType w:val="hybridMultilevel"/>
    <w:tmpl w:val="5DEE02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C111A5"/>
    <w:multiLevelType w:val="hybridMultilevel"/>
    <w:tmpl w:val="AAEEF7D4"/>
    <w:lvl w:ilvl="0" w:tplc="85045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6F3615"/>
    <w:multiLevelType w:val="hybridMultilevel"/>
    <w:tmpl w:val="B3986A92"/>
    <w:lvl w:ilvl="0" w:tplc="DB640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38516F"/>
    <w:multiLevelType w:val="hybridMultilevel"/>
    <w:tmpl w:val="302E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03022"/>
    <w:multiLevelType w:val="hybridMultilevel"/>
    <w:tmpl w:val="7B9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7B5421"/>
    <w:multiLevelType w:val="hybridMultilevel"/>
    <w:tmpl w:val="3B9C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BE5FC1"/>
    <w:multiLevelType w:val="hybridMultilevel"/>
    <w:tmpl w:val="943A1B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3D3E82"/>
    <w:multiLevelType w:val="hybridMultilevel"/>
    <w:tmpl w:val="745A3D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8201A"/>
    <w:multiLevelType w:val="hybridMultilevel"/>
    <w:tmpl w:val="2454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6"/>
  </w:num>
  <w:num w:numId="4">
    <w:abstractNumId w:val="27"/>
  </w:num>
  <w:num w:numId="5">
    <w:abstractNumId w:val="24"/>
  </w:num>
  <w:num w:numId="6">
    <w:abstractNumId w:val="11"/>
  </w:num>
  <w:num w:numId="7">
    <w:abstractNumId w:val="4"/>
  </w:num>
  <w:num w:numId="8">
    <w:abstractNumId w:val="22"/>
  </w:num>
  <w:num w:numId="9">
    <w:abstractNumId w:val="12"/>
  </w:num>
  <w:num w:numId="10">
    <w:abstractNumId w:val="6"/>
  </w:num>
  <w:num w:numId="11">
    <w:abstractNumId w:val="23"/>
  </w:num>
  <w:num w:numId="12">
    <w:abstractNumId w:val="9"/>
  </w:num>
  <w:num w:numId="13">
    <w:abstractNumId w:val="10"/>
  </w:num>
  <w:num w:numId="14">
    <w:abstractNumId w:val="18"/>
  </w:num>
  <w:num w:numId="15">
    <w:abstractNumId w:val="13"/>
  </w:num>
  <w:num w:numId="16">
    <w:abstractNumId w:val="15"/>
  </w:num>
  <w:num w:numId="17">
    <w:abstractNumId w:val="2"/>
  </w:num>
  <w:num w:numId="18">
    <w:abstractNumId w:val="8"/>
  </w:num>
  <w:num w:numId="19">
    <w:abstractNumId w:val="26"/>
  </w:num>
  <w:num w:numId="20">
    <w:abstractNumId w:val="1"/>
  </w:num>
  <w:num w:numId="21">
    <w:abstractNumId w:val="19"/>
  </w:num>
  <w:num w:numId="22">
    <w:abstractNumId w:val="25"/>
  </w:num>
  <w:num w:numId="23">
    <w:abstractNumId w:val="17"/>
  </w:num>
  <w:num w:numId="24">
    <w:abstractNumId w:val="5"/>
  </w:num>
  <w:num w:numId="25">
    <w:abstractNumId w:val="14"/>
  </w:num>
  <w:num w:numId="26">
    <w:abstractNumId w:val="7"/>
  </w:num>
  <w:num w:numId="27">
    <w:abstractNumId w:val="21"/>
  </w:num>
  <w:num w:numId="2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B4"/>
    <w:rsid w:val="00015A39"/>
    <w:rsid w:val="00024C70"/>
    <w:rsid w:val="00036C9D"/>
    <w:rsid w:val="00047F8E"/>
    <w:rsid w:val="00050673"/>
    <w:rsid w:val="0005263D"/>
    <w:rsid w:val="00053D1A"/>
    <w:rsid w:val="000557CF"/>
    <w:rsid w:val="00056D09"/>
    <w:rsid w:val="000718E0"/>
    <w:rsid w:val="000774F4"/>
    <w:rsid w:val="00080708"/>
    <w:rsid w:val="00087840"/>
    <w:rsid w:val="000926EC"/>
    <w:rsid w:val="00095F94"/>
    <w:rsid w:val="000B6845"/>
    <w:rsid w:val="000C5E85"/>
    <w:rsid w:val="000D10A9"/>
    <w:rsid w:val="000D13AE"/>
    <w:rsid w:val="000D5444"/>
    <w:rsid w:val="000E60DC"/>
    <w:rsid w:val="000F0058"/>
    <w:rsid w:val="000F661F"/>
    <w:rsid w:val="00102CE7"/>
    <w:rsid w:val="001038CE"/>
    <w:rsid w:val="00104224"/>
    <w:rsid w:val="00106D98"/>
    <w:rsid w:val="001255D3"/>
    <w:rsid w:val="00133DE4"/>
    <w:rsid w:val="00141F0E"/>
    <w:rsid w:val="001568AA"/>
    <w:rsid w:val="00157E2B"/>
    <w:rsid w:val="00163F54"/>
    <w:rsid w:val="00172534"/>
    <w:rsid w:val="00175622"/>
    <w:rsid w:val="00180B98"/>
    <w:rsid w:val="00182166"/>
    <w:rsid w:val="00184C63"/>
    <w:rsid w:val="001B364A"/>
    <w:rsid w:val="001C04DC"/>
    <w:rsid w:val="001C74BF"/>
    <w:rsid w:val="001D2A86"/>
    <w:rsid w:val="001E1EA6"/>
    <w:rsid w:val="001E47CA"/>
    <w:rsid w:val="001F5DCF"/>
    <w:rsid w:val="00200CC4"/>
    <w:rsid w:val="002109F6"/>
    <w:rsid w:val="002204AB"/>
    <w:rsid w:val="002228DA"/>
    <w:rsid w:val="00224ECD"/>
    <w:rsid w:val="002347B7"/>
    <w:rsid w:val="00244D02"/>
    <w:rsid w:val="00250EBF"/>
    <w:rsid w:val="00270A14"/>
    <w:rsid w:val="0028135E"/>
    <w:rsid w:val="002842EC"/>
    <w:rsid w:val="002851BD"/>
    <w:rsid w:val="0028636C"/>
    <w:rsid w:val="00294F81"/>
    <w:rsid w:val="002A1390"/>
    <w:rsid w:val="002A5BC8"/>
    <w:rsid w:val="002B1852"/>
    <w:rsid w:val="002C12C3"/>
    <w:rsid w:val="002C3AF4"/>
    <w:rsid w:val="002D1031"/>
    <w:rsid w:val="002D3A40"/>
    <w:rsid w:val="002D5BD3"/>
    <w:rsid w:val="002E7339"/>
    <w:rsid w:val="00301084"/>
    <w:rsid w:val="003045F8"/>
    <w:rsid w:val="0030611C"/>
    <w:rsid w:val="003128A5"/>
    <w:rsid w:val="00332993"/>
    <w:rsid w:val="0034187B"/>
    <w:rsid w:val="003509FD"/>
    <w:rsid w:val="00350A7F"/>
    <w:rsid w:val="00370CD5"/>
    <w:rsid w:val="00375012"/>
    <w:rsid w:val="003774D2"/>
    <w:rsid w:val="00380A1B"/>
    <w:rsid w:val="003A1738"/>
    <w:rsid w:val="003A4CFD"/>
    <w:rsid w:val="003A6DE1"/>
    <w:rsid w:val="003B7CF6"/>
    <w:rsid w:val="003C56D2"/>
    <w:rsid w:val="003C5AA7"/>
    <w:rsid w:val="003C5F12"/>
    <w:rsid w:val="003D5C06"/>
    <w:rsid w:val="003E4740"/>
    <w:rsid w:val="003F220F"/>
    <w:rsid w:val="004079F1"/>
    <w:rsid w:val="0041117F"/>
    <w:rsid w:val="004146C0"/>
    <w:rsid w:val="00415E22"/>
    <w:rsid w:val="00415F9E"/>
    <w:rsid w:val="00423C34"/>
    <w:rsid w:val="00427A8D"/>
    <w:rsid w:val="00433E70"/>
    <w:rsid w:val="004409FE"/>
    <w:rsid w:val="0044355C"/>
    <w:rsid w:val="004465B1"/>
    <w:rsid w:val="00466758"/>
    <w:rsid w:val="00472832"/>
    <w:rsid w:val="00477031"/>
    <w:rsid w:val="004878A2"/>
    <w:rsid w:val="004A7124"/>
    <w:rsid w:val="004B2BD9"/>
    <w:rsid w:val="004B5C0F"/>
    <w:rsid w:val="004C3710"/>
    <w:rsid w:val="004C6B1E"/>
    <w:rsid w:val="004C6E12"/>
    <w:rsid w:val="004D7AFE"/>
    <w:rsid w:val="004E0CF7"/>
    <w:rsid w:val="004E322B"/>
    <w:rsid w:val="004F50AD"/>
    <w:rsid w:val="00517FB1"/>
    <w:rsid w:val="0052621A"/>
    <w:rsid w:val="00532E66"/>
    <w:rsid w:val="005418A1"/>
    <w:rsid w:val="005432E1"/>
    <w:rsid w:val="00545450"/>
    <w:rsid w:val="0057492C"/>
    <w:rsid w:val="00576B04"/>
    <w:rsid w:val="005778B4"/>
    <w:rsid w:val="00582498"/>
    <w:rsid w:val="00582E18"/>
    <w:rsid w:val="0059114C"/>
    <w:rsid w:val="00597C3F"/>
    <w:rsid w:val="005B17FF"/>
    <w:rsid w:val="005B180C"/>
    <w:rsid w:val="005B41F7"/>
    <w:rsid w:val="005B4B5C"/>
    <w:rsid w:val="005E0B57"/>
    <w:rsid w:val="005E299E"/>
    <w:rsid w:val="005E2A30"/>
    <w:rsid w:val="005E497E"/>
    <w:rsid w:val="006033BF"/>
    <w:rsid w:val="00623201"/>
    <w:rsid w:val="00632B73"/>
    <w:rsid w:val="00637B8C"/>
    <w:rsid w:val="006432D5"/>
    <w:rsid w:val="00651D87"/>
    <w:rsid w:val="00661CC5"/>
    <w:rsid w:val="00663EBC"/>
    <w:rsid w:val="00664A95"/>
    <w:rsid w:val="00664F17"/>
    <w:rsid w:val="00666BD8"/>
    <w:rsid w:val="006700DE"/>
    <w:rsid w:val="0068158E"/>
    <w:rsid w:val="00682E70"/>
    <w:rsid w:val="00683DE4"/>
    <w:rsid w:val="00685BB5"/>
    <w:rsid w:val="006908A4"/>
    <w:rsid w:val="006932B7"/>
    <w:rsid w:val="006A1A73"/>
    <w:rsid w:val="006B052F"/>
    <w:rsid w:val="006B5E3C"/>
    <w:rsid w:val="006D1057"/>
    <w:rsid w:val="006E0C74"/>
    <w:rsid w:val="00701912"/>
    <w:rsid w:val="00714E39"/>
    <w:rsid w:val="00721567"/>
    <w:rsid w:val="007232C8"/>
    <w:rsid w:val="00726295"/>
    <w:rsid w:val="0073280D"/>
    <w:rsid w:val="00734CB8"/>
    <w:rsid w:val="0074010F"/>
    <w:rsid w:val="00752007"/>
    <w:rsid w:val="00755EAD"/>
    <w:rsid w:val="00760CEF"/>
    <w:rsid w:val="00771283"/>
    <w:rsid w:val="007741B0"/>
    <w:rsid w:val="00775965"/>
    <w:rsid w:val="00790B9C"/>
    <w:rsid w:val="00791D19"/>
    <w:rsid w:val="00796418"/>
    <w:rsid w:val="007A2207"/>
    <w:rsid w:val="007B58CC"/>
    <w:rsid w:val="007B6990"/>
    <w:rsid w:val="007D1F72"/>
    <w:rsid w:val="007E23D3"/>
    <w:rsid w:val="007E5266"/>
    <w:rsid w:val="00820B0E"/>
    <w:rsid w:val="00820FC5"/>
    <w:rsid w:val="00822648"/>
    <w:rsid w:val="0082500E"/>
    <w:rsid w:val="00831A37"/>
    <w:rsid w:val="008401B7"/>
    <w:rsid w:val="008467EF"/>
    <w:rsid w:val="00851625"/>
    <w:rsid w:val="008564F8"/>
    <w:rsid w:val="00860202"/>
    <w:rsid w:val="008633B8"/>
    <w:rsid w:val="00866F56"/>
    <w:rsid w:val="00874E21"/>
    <w:rsid w:val="008865F6"/>
    <w:rsid w:val="00892AC8"/>
    <w:rsid w:val="00895C10"/>
    <w:rsid w:val="008A5CAD"/>
    <w:rsid w:val="008E53E8"/>
    <w:rsid w:val="008E6E64"/>
    <w:rsid w:val="009024D4"/>
    <w:rsid w:val="00905AC8"/>
    <w:rsid w:val="00907767"/>
    <w:rsid w:val="0091657F"/>
    <w:rsid w:val="00944C38"/>
    <w:rsid w:val="0095350B"/>
    <w:rsid w:val="0096549E"/>
    <w:rsid w:val="009830A9"/>
    <w:rsid w:val="009A4DEF"/>
    <w:rsid w:val="009B3581"/>
    <w:rsid w:val="009B52DD"/>
    <w:rsid w:val="009B66DC"/>
    <w:rsid w:val="009B77AA"/>
    <w:rsid w:val="009C1C08"/>
    <w:rsid w:val="009D34B5"/>
    <w:rsid w:val="009E08C8"/>
    <w:rsid w:val="009E175F"/>
    <w:rsid w:val="00A045D0"/>
    <w:rsid w:val="00A06906"/>
    <w:rsid w:val="00A24FA5"/>
    <w:rsid w:val="00A302E3"/>
    <w:rsid w:val="00A31A79"/>
    <w:rsid w:val="00A4699F"/>
    <w:rsid w:val="00A5132D"/>
    <w:rsid w:val="00A63860"/>
    <w:rsid w:val="00A6470D"/>
    <w:rsid w:val="00A65802"/>
    <w:rsid w:val="00A67755"/>
    <w:rsid w:val="00A93EA1"/>
    <w:rsid w:val="00AA53A9"/>
    <w:rsid w:val="00AB5FCF"/>
    <w:rsid w:val="00AD68CF"/>
    <w:rsid w:val="00AF5628"/>
    <w:rsid w:val="00B055E1"/>
    <w:rsid w:val="00B0782E"/>
    <w:rsid w:val="00B2303F"/>
    <w:rsid w:val="00B24D80"/>
    <w:rsid w:val="00B42714"/>
    <w:rsid w:val="00B507BB"/>
    <w:rsid w:val="00B6133D"/>
    <w:rsid w:val="00B831EF"/>
    <w:rsid w:val="00B86254"/>
    <w:rsid w:val="00B86B38"/>
    <w:rsid w:val="00BA12E1"/>
    <w:rsid w:val="00BA76CE"/>
    <w:rsid w:val="00BB07B5"/>
    <w:rsid w:val="00BC4D2F"/>
    <w:rsid w:val="00BC5D0D"/>
    <w:rsid w:val="00BC7893"/>
    <w:rsid w:val="00BD551F"/>
    <w:rsid w:val="00BE2AC3"/>
    <w:rsid w:val="00BF1D51"/>
    <w:rsid w:val="00C06BFB"/>
    <w:rsid w:val="00C13256"/>
    <w:rsid w:val="00C21424"/>
    <w:rsid w:val="00C37033"/>
    <w:rsid w:val="00C70D64"/>
    <w:rsid w:val="00C87F51"/>
    <w:rsid w:val="00C9128D"/>
    <w:rsid w:val="00C92314"/>
    <w:rsid w:val="00CA35B8"/>
    <w:rsid w:val="00CA5AD6"/>
    <w:rsid w:val="00CE17A1"/>
    <w:rsid w:val="00CE3C68"/>
    <w:rsid w:val="00CE3EB8"/>
    <w:rsid w:val="00CF0FAB"/>
    <w:rsid w:val="00CF1235"/>
    <w:rsid w:val="00CF5EDE"/>
    <w:rsid w:val="00D042D7"/>
    <w:rsid w:val="00D05E17"/>
    <w:rsid w:val="00D24B02"/>
    <w:rsid w:val="00D42F84"/>
    <w:rsid w:val="00D55B83"/>
    <w:rsid w:val="00D57560"/>
    <w:rsid w:val="00D6227D"/>
    <w:rsid w:val="00D668BA"/>
    <w:rsid w:val="00D753AE"/>
    <w:rsid w:val="00D853A4"/>
    <w:rsid w:val="00D95BBE"/>
    <w:rsid w:val="00DA1F73"/>
    <w:rsid w:val="00DB739F"/>
    <w:rsid w:val="00DC27D7"/>
    <w:rsid w:val="00DC4036"/>
    <w:rsid w:val="00DD28C9"/>
    <w:rsid w:val="00DF376A"/>
    <w:rsid w:val="00DF38B5"/>
    <w:rsid w:val="00E1112E"/>
    <w:rsid w:val="00E17305"/>
    <w:rsid w:val="00E3111F"/>
    <w:rsid w:val="00E36F14"/>
    <w:rsid w:val="00E47592"/>
    <w:rsid w:val="00E51030"/>
    <w:rsid w:val="00E557C9"/>
    <w:rsid w:val="00E61604"/>
    <w:rsid w:val="00E62EC1"/>
    <w:rsid w:val="00E76E9C"/>
    <w:rsid w:val="00E7799D"/>
    <w:rsid w:val="00E86B13"/>
    <w:rsid w:val="00E877EF"/>
    <w:rsid w:val="00E974A1"/>
    <w:rsid w:val="00EA2F8F"/>
    <w:rsid w:val="00EB23D0"/>
    <w:rsid w:val="00EB681E"/>
    <w:rsid w:val="00EC0404"/>
    <w:rsid w:val="00EC13DB"/>
    <w:rsid w:val="00EC68E8"/>
    <w:rsid w:val="00EE5A5E"/>
    <w:rsid w:val="00EE7D83"/>
    <w:rsid w:val="00EF13DF"/>
    <w:rsid w:val="00EF1FC7"/>
    <w:rsid w:val="00EF3455"/>
    <w:rsid w:val="00F01914"/>
    <w:rsid w:val="00F033C6"/>
    <w:rsid w:val="00F035FC"/>
    <w:rsid w:val="00F05981"/>
    <w:rsid w:val="00F10618"/>
    <w:rsid w:val="00F12F7F"/>
    <w:rsid w:val="00F20350"/>
    <w:rsid w:val="00F42C66"/>
    <w:rsid w:val="00F42DBD"/>
    <w:rsid w:val="00F474C5"/>
    <w:rsid w:val="00F560D1"/>
    <w:rsid w:val="00F56D5B"/>
    <w:rsid w:val="00F70148"/>
    <w:rsid w:val="00F8583F"/>
    <w:rsid w:val="00F8613C"/>
    <w:rsid w:val="00FA193D"/>
    <w:rsid w:val="00FA1F5A"/>
    <w:rsid w:val="00FB258A"/>
    <w:rsid w:val="00FC0F5D"/>
    <w:rsid w:val="00FC13BD"/>
    <w:rsid w:val="00FC4E1B"/>
    <w:rsid w:val="00FE0E0F"/>
    <w:rsid w:val="00FF1B60"/>
    <w:rsid w:val="00FF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9CDD527F-7E46-4E2D-91F6-131D87C7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084"/>
    <w:pPr>
      <w:widowControl w:val="0"/>
    </w:pPr>
    <w:rPr>
      <w:snapToGrid w:val="0"/>
      <w:sz w:val="24"/>
    </w:rPr>
  </w:style>
  <w:style w:type="paragraph" w:styleId="Heading1">
    <w:name w:val="heading 1"/>
    <w:basedOn w:val="Normal"/>
    <w:next w:val="Normal"/>
    <w:link w:val="Heading1Char"/>
    <w:uiPriority w:val="9"/>
    <w:qFormat/>
    <w:rsid w:val="00301084"/>
    <w:pPr>
      <w:keepNext/>
      <w:ind w:left="-720" w:right="-720"/>
      <w:jc w:val="center"/>
      <w:outlineLvl w:val="0"/>
    </w:pPr>
    <w:rPr>
      <w:sz w:val="28"/>
    </w:rPr>
  </w:style>
  <w:style w:type="paragraph" w:styleId="Heading2">
    <w:name w:val="heading 2"/>
    <w:basedOn w:val="Normal"/>
    <w:next w:val="Normal"/>
    <w:qFormat/>
    <w:rsid w:val="00301084"/>
    <w:pPr>
      <w:keepNext/>
      <w:ind w:left="-720" w:right="-720" w:firstLine="1440"/>
      <w:jc w:val="center"/>
      <w:outlineLvl w:val="1"/>
    </w:pPr>
    <w:rPr>
      <w:b/>
      <w:sz w:val="36"/>
    </w:rPr>
  </w:style>
  <w:style w:type="paragraph" w:styleId="Heading3">
    <w:name w:val="heading 3"/>
    <w:basedOn w:val="Normal"/>
    <w:next w:val="Normal"/>
    <w:link w:val="Heading3Char"/>
    <w:uiPriority w:val="9"/>
    <w:qFormat/>
    <w:rsid w:val="00301084"/>
    <w:pPr>
      <w:keepNext/>
      <w:ind w:left="-720" w:right="-720"/>
      <w:outlineLvl w:val="2"/>
    </w:pPr>
    <w:rPr>
      <w:rFonts w:ascii="Arial" w:hAnsi="Arial"/>
      <w:i/>
      <w:sz w:val="16"/>
    </w:rPr>
  </w:style>
  <w:style w:type="paragraph" w:styleId="Heading4">
    <w:name w:val="heading 4"/>
    <w:basedOn w:val="Normal"/>
    <w:next w:val="Normal"/>
    <w:qFormat/>
    <w:rsid w:val="00301084"/>
    <w:pPr>
      <w:keepNext/>
      <w:outlineLvl w:val="3"/>
    </w:pPr>
    <w:rPr>
      <w:b/>
    </w:rPr>
  </w:style>
  <w:style w:type="paragraph" w:styleId="Heading5">
    <w:name w:val="heading 5"/>
    <w:basedOn w:val="Normal"/>
    <w:next w:val="Normal"/>
    <w:qFormat/>
    <w:rsid w:val="00301084"/>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AD6"/>
    <w:rPr>
      <w:snapToGrid w:val="0"/>
      <w:sz w:val="28"/>
    </w:rPr>
  </w:style>
  <w:style w:type="character" w:customStyle="1" w:styleId="Heading3Char">
    <w:name w:val="Heading 3 Char"/>
    <w:basedOn w:val="DefaultParagraphFont"/>
    <w:link w:val="Heading3"/>
    <w:uiPriority w:val="9"/>
    <w:rsid w:val="00CA5AD6"/>
    <w:rPr>
      <w:rFonts w:ascii="Arial" w:hAnsi="Arial"/>
      <w:i/>
      <w:snapToGrid w:val="0"/>
      <w:sz w:val="16"/>
    </w:rPr>
  </w:style>
  <w:style w:type="character" w:styleId="FootnoteReference">
    <w:name w:val="footnote reference"/>
    <w:uiPriority w:val="99"/>
    <w:semiHidden/>
    <w:rsid w:val="00301084"/>
  </w:style>
  <w:style w:type="paragraph" w:styleId="Header">
    <w:name w:val="header"/>
    <w:basedOn w:val="Normal"/>
    <w:link w:val="HeaderChar"/>
    <w:uiPriority w:val="99"/>
    <w:rsid w:val="00301084"/>
    <w:pPr>
      <w:tabs>
        <w:tab w:val="center" w:pos="4320"/>
        <w:tab w:val="right" w:pos="8640"/>
      </w:tabs>
    </w:pPr>
  </w:style>
  <w:style w:type="character" w:customStyle="1" w:styleId="HeaderChar">
    <w:name w:val="Header Char"/>
    <w:basedOn w:val="DefaultParagraphFont"/>
    <w:link w:val="Header"/>
    <w:uiPriority w:val="99"/>
    <w:rsid w:val="00CA5AD6"/>
    <w:rPr>
      <w:snapToGrid w:val="0"/>
      <w:sz w:val="24"/>
    </w:rPr>
  </w:style>
  <w:style w:type="paragraph" w:styleId="Footer">
    <w:name w:val="footer"/>
    <w:basedOn w:val="Normal"/>
    <w:link w:val="FooterChar"/>
    <w:uiPriority w:val="99"/>
    <w:rsid w:val="00301084"/>
    <w:pPr>
      <w:tabs>
        <w:tab w:val="center" w:pos="4320"/>
        <w:tab w:val="right" w:pos="8640"/>
      </w:tabs>
    </w:pPr>
  </w:style>
  <w:style w:type="character" w:customStyle="1" w:styleId="FooterChar">
    <w:name w:val="Footer Char"/>
    <w:basedOn w:val="DefaultParagraphFont"/>
    <w:link w:val="Footer"/>
    <w:uiPriority w:val="99"/>
    <w:rsid w:val="00CA5AD6"/>
    <w:rPr>
      <w:snapToGrid w:val="0"/>
      <w:sz w:val="24"/>
    </w:rPr>
  </w:style>
  <w:style w:type="character" w:styleId="PageNumber">
    <w:name w:val="page number"/>
    <w:basedOn w:val="DefaultParagraphFont"/>
    <w:rsid w:val="00301084"/>
  </w:style>
  <w:style w:type="character" w:styleId="Hyperlink">
    <w:name w:val="Hyperlink"/>
    <w:basedOn w:val="DefaultParagraphFont"/>
    <w:uiPriority w:val="99"/>
    <w:rsid w:val="00301084"/>
    <w:rPr>
      <w:color w:val="0000FF"/>
      <w:u w:val="single"/>
    </w:rPr>
  </w:style>
  <w:style w:type="paragraph" w:styleId="BodyTextIndent">
    <w:name w:val="Body Text Indent"/>
    <w:basedOn w:val="Normal"/>
    <w:rsid w:val="00301084"/>
    <w:pPr>
      <w:ind w:firstLine="720"/>
    </w:pPr>
  </w:style>
  <w:style w:type="paragraph" w:styleId="FootnoteText">
    <w:name w:val="footnote text"/>
    <w:basedOn w:val="Normal"/>
    <w:link w:val="FootnoteTextChar"/>
    <w:uiPriority w:val="99"/>
    <w:semiHidden/>
    <w:rsid w:val="00301084"/>
    <w:pPr>
      <w:widowControl/>
    </w:pPr>
    <w:rPr>
      <w:snapToGrid/>
      <w:sz w:val="20"/>
    </w:rPr>
  </w:style>
  <w:style w:type="character" w:customStyle="1" w:styleId="FootnoteTextChar">
    <w:name w:val="Footnote Text Char"/>
    <w:basedOn w:val="DefaultParagraphFont"/>
    <w:link w:val="FootnoteText"/>
    <w:uiPriority w:val="99"/>
    <w:semiHidden/>
    <w:rsid w:val="00CA5AD6"/>
  </w:style>
  <w:style w:type="paragraph" w:styleId="BodyText">
    <w:name w:val="Body Text"/>
    <w:basedOn w:val="Normal"/>
    <w:rsid w:val="00301084"/>
    <w:pPr>
      <w:widowControl/>
    </w:pPr>
    <w:rPr>
      <w:snapToGrid/>
      <w:u w:val="single"/>
    </w:rPr>
  </w:style>
  <w:style w:type="paragraph" w:customStyle="1" w:styleId="DocumentLabel">
    <w:name w:val="Document Label"/>
    <w:basedOn w:val="Normal"/>
    <w:next w:val="Normal"/>
    <w:rsid w:val="00301084"/>
    <w:pPr>
      <w:keepNext/>
      <w:keepLines/>
      <w:widowControl/>
      <w:spacing w:before="400" w:after="120" w:line="240" w:lineRule="atLeast"/>
      <w:ind w:left="-840"/>
    </w:pPr>
    <w:rPr>
      <w:rFonts w:ascii="Arial Black" w:hAnsi="Arial Black"/>
      <w:snapToGrid/>
      <w:spacing w:val="-5"/>
      <w:kern w:val="28"/>
      <w:sz w:val="96"/>
    </w:rPr>
  </w:style>
  <w:style w:type="paragraph" w:styleId="EnvelopeReturn">
    <w:name w:val="envelope return"/>
    <w:basedOn w:val="Normal"/>
    <w:rsid w:val="00301084"/>
    <w:pPr>
      <w:widowControl/>
    </w:pPr>
    <w:rPr>
      <w:rFonts w:ascii="Arial" w:hAnsi="Arial"/>
      <w:snapToGrid/>
      <w:spacing w:val="-5"/>
      <w:sz w:val="20"/>
    </w:rPr>
  </w:style>
  <w:style w:type="paragraph" w:styleId="Title">
    <w:name w:val="Title"/>
    <w:basedOn w:val="Normal"/>
    <w:qFormat/>
    <w:rsid w:val="00301084"/>
    <w:pPr>
      <w:widowControl/>
      <w:jc w:val="center"/>
    </w:pPr>
    <w:rPr>
      <w:snapToGrid/>
      <w:sz w:val="28"/>
    </w:rPr>
  </w:style>
  <w:style w:type="paragraph" w:styleId="Date">
    <w:name w:val="Date"/>
    <w:basedOn w:val="Normal"/>
    <w:next w:val="Normal"/>
    <w:rsid w:val="00301084"/>
  </w:style>
  <w:style w:type="paragraph" w:customStyle="1" w:styleId="InsideAddressName">
    <w:name w:val="Inside Address Name"/>
    <w:basedOn w:val="Normal"/>
    <w:rsid w:val="00301084"/>
  </w:style>
  <w:style w:type="paragraph" w:customStyle="1" w:styleId="InsideAddress">
    <w:name w:val="Inside Address"/>
    <w:basedOn w:val="Normal"/>
    <w:rsid w:val="00301084"/>
  </w:style>
  <w:style w:type="paragraph" w:styleId="Salutation">
    <w:name w:val="Salutation"/>
    <w:basedOn w:val="Normal"/>
    <w:next w:val="Normal"/>
    <w:rsid w:val="00301084"/>
  </w:style>
  <w:style w:type="paragraph" w:styleId="Closing">
    <w:name w:val="Closing"/>
    <w:basedOn w:val="Normal"/>
    <w:rsid w:val="00301084"/>
  </w:style>
  <w:style w:type="paragraph" w:styleId="Signature">
    <w:name w:val="Signature"/>
    <w:basedOn w:val="Normal"/>
    <w:rsid w:val="00301084"/>
  </w:style>
  <w:style w:type="paragraph" w:styleId="BodyText2">
    <w:name w:val="Body Text 2"/>
    <w:basedOn w:val="Normal"/>
    <w:rsid w:val="00301084"/>
    <w:pPr>
      <w:jc w:val="both"/>
    </w:pPr>
  </w:style>
  <w:style w:type="paragraph" w:styleId="BodyText3">
    <w:name w:val="Body Text 3"/>
    <w:basedOn w:val="Normal"/>
    <w:rsid w:val="00301084"/>
    <w:pPr>
      <w:jc w:val="both"/>
    </w:pPr>
    <w:rPr>
      <w:sz w:val="22"/>
    </w:rPr>
  </w:style>
  <w:style w:type="paragraph" w:customStyle="1" w:styleId="asection">
    <w:name w:val="asection"/>
    <w:basedOn w:val="Normal"/>
    <w:rsid w:val="00301084"/>
    <w:pPr>
      <w:widowControl/>
      <w:ind w:left="1080" w:hanging="1080"/>
      <w:jc w:val="both"/>
    </w:pPr>
    <w:rPr>
      <w:b/>
      <w:snapToGrid/>
      <w:sz w:val="26"/>
    </w:rPr>
  </w:style>
  <w:style w:type="paragraph" w:customStyle="1" w:styleId="amargin1">
    <w:name w:val="amargin1"/>
    <w:basedOn w:val="Normal"/>
    <w:rsid w:val="00301084"/>
    <w:pPr>
      <w:widowControl/>
      <w:ind w:firstLine="360"/>
      <w:jc w:val="both"/>
    </w:pPr>
    <w:rPr>
      <w:snapToGrid/>
      <w:sz w:val="26"/>
    </w:rPr>
  </w:style>
  <w:style w:type="paragraph" w:customStyle="1" w:styleId="Default">
    <w:name w:val="Default"/>
    <w:rsid w:val="003045F8"/>
    <w:pPr>
      <w:autoSpaceDE w:val="0"/>
      <w:autoSpaceDN w:val="0"/>
      <w:adjustRightInd w:val="0"/>
    </w:pPr>
    <w:rPr>
      <w:rFonts w:ascii="Arial" w:hAnsi="Arial"/>
      <w:sz w:val="24"/>
      <w:szCs w:val="24"/>
    </w:rPr>
  </w:style>
  <w:style w:type="paragraph" w:styleId="BalloonText">
    <w:name w:val="Balloon Text"/>
    <w:basedOn w:val="Normal"/>
    <w:link w:val="BalloonTextChar"/>
    <w:uiPriority w:val="99"/>
    <w:rsid w:val="005E299E"/>
    <w:rPr>
      <w:rFonts w:ascii="Tahoma" w:hAnsi="Tahoma" w:cs="Tahoma"/>
      <w:sz w:val="16"/>
      <w:szCs w:val="16"/>
    </w:rPr>
  </w:style>
  <w:style w:type="character" w:customStyle="1" w:styleId="BalloonTextChar">
    <w:name w:val="Balloon Text Char"/>
    <w:basedOn w:val="DefaultParagraphFont"/>
    <w:link w:val="BalloonText"/>
    <w:uiPriority w:val="99"/>
    <w:rsid w:val="005E299E"/>
    <w:rPr>
      <w:rFonts w:ascii="Tahoma" w:hAnsi="Tahoma" w:cs="Tahoma"/>
      <w:snapToGrid w:val="0"/>
      <w:sz w:val="16"/>
      <w:szCs w:val="16"/>
    </w:rPr>
  </w:style>
  <w:style w:type="character" w:styleId="FollowedHyperlink">
    <w:name w:val="FollowedHyperlink"/>
    <w:basedOn w:val="DefaultParagraphFont"/>
    <w:uiPriority w:val="99"/>
    <w:rsid w:val="002842EC"/>
    <w:rPr>
      <w:color w:val="800080" w:themeColor="followedHyperlink"/>
      <w:u w:val="single"/>
    </w:rPr>
  </w:style>
  <w:style w:type="character" w:styleId="CommentReference">
    <w:name w:val="annotation reference"/>
    <w:basedOn w:val="DefaultParagraphFont"/>
    <w:uiPriority w:val="99"/>
    <w:semiHidden/>
    <w:unhideWhenUsed/>
    <w:rsid w:val="00CA5AD6"/>
    <w:rPr>
      <w:sz w:val="16"/>
      <w:szCs w:val="16"/>
    </w:rPr>
  </w:style>
  <w:style w:type="paragraph" w:styleId="CommentText">
    <w:name w:val="annotation text"/>
    <w:basedOn w:val="Normal"/>
    <w:link w:val="CommentTextChar"/>
    <w:uiPriority w:val="99"/>
    <w:semiHidden/>
    <w:unhideWhenUsed/>
    <w:rsid w:val="00CA5AD6"/>
    <w:pPr>
      <w:widowControl/>
    </w:pPr>
    <w:rPr>
      <w:rFonts w:eastAsiaTheme="minorHAnsi" w:cstheme="majorBidi"/>
      <w:snapToGrid/>
      <w:color w:val="365F91" w:themeColor="accent1" w:themeShade="BF"/>
      <w:sz w:val="20"/>
    </w:rPr>
  </w:style>
  <w:style w:type="character" w:customStyle="1" w:styleId="CommentTextChar">
    <w:name w:val="Comment Text Char"/>
    <w:basedOn w:val="DefaultParagraphFont"/>
    <w:link w:val="CommentText"/>
    <w:uiPriority w:val="99"/>
    <w:semiHidden/>
    <w:rsid w:val="00CA5AD6"/>
    <w:rPr>
      <w:rFonts w:eastAsiaTheme="minorHAnsi" w:cstheme="majorBidi"/>
      <w:color w:val="365F91" w:themeColor="accent1" w:themeShade="BF"/>
    </w:rPr>
  </w:style>
  <w:style w:type="paragraph" w:styleId="CommentSubject">
    <w:name w:val="annotation subject"/>
    <w:basedOn w:val="CommentText"/>
    <w:next w:val="CommentText"/>
    <w:link w:val="CommentSubjectChar"/>
    <w:uiPriority w:val="99"/>
    <w:semiHidden/>
    <w:unhideWhenUsed/>
    <w:rsid w:val="00CA5AD6"/>
    <w:rPr>
      <w:b/>
      <w:bCs/>
    </w:rPr>
  </w:style>
  <w:style w:type="character" w:customStyle="1" w:styleId="CommentSubjectChar">
    <w:name w:val="Comment Subject Char"/>
    <w:basedOn w:val="CommentTextChar"/>
    <w:link w:val="CommentSubject"/>
    <w:uiPriority w:val="99"/>
    <w:semiHidden/>
    <w:rsid w:val="00CA5AD6"/>
    <w:rPr>
      <w:rFonts w:eastAsiaTheme="minorHAnsi" w:cstheme="majorBidi"/>
      <w:b/>
      <w:bCs/>
      <w:color w:val="365F91" w:themeColor="accent1" w:themeShade="BF"/>
    </w:rPr>
  </w:style>
  <w:style w:type="character" w:styleId="LineNumber">
    <w:name w:val="line number"/>
    <w:basedOn w:val="DefaultParagraphFont"/>
    <w:uiPriority w:val="99"/>
    <w:semiHidden/>
    <w:unhideWhenUsed/>
    <w:rsid w:val="00CA5AD6"/>
  </w:style>
  <w:style w:type="paragraph" w:styleId="TOCHeading">
    <w:name w:val="TOC Heading"/>
    <w:basedOn w:val="Heading1"/>
    <w:next w:val="Normal"/>
    <w:uiPriority w:val="39"/>
    <w:unhideWhenUsed/>
    <w:qFormat/>
    <w:rsid w:val="00CA5AD6"/>
    <w:pPr>
      <w:keepLines/>
      <w:widowControl/>
      <w:spacing w:before="240" w:line="259" w:lineRule="auto"/>
      <w:ind w:left="0" w:right="0"/>
      <w:jc w:val="left"/>
      <w:outlineLvl w:val="9"/>
    </w:pPr>
    <w:rPr>
      <w:rFonts w:asciiTheme="majorHAnsi" w:eastAsiaTheme="majorEastAsia" w:hAnsiTheme="majorHAnsi" w:cstheme="majorBidi"/>
      <w:snapToGrid/>
      <w:color w:val="365F91" w:themeColor="accent1" w:themeShade="BF"/>
      <w:sz w:val="32"/>
      <w:szCs w:val="32"/>
    </w:rPr>
  </w:style>
  <w:style w:type="paragraph" w:styleId="TOC1">
    <w:name w:val="toc 1"/>
    <w:basedOn w:val="Normal"/>
    <w:next w:val="Normal"/>
    <w:autoRedefine/>
    <w:uiPriority w:val="39"/>
    <w:unhideWhenUsed/>
    <w:rsid w:val="00B42714"/>
    <w:pPr>
      <w:widowControl/>
      <w:tabs>
        <w:tab w:val="left" w:pos="660"/>
        <w:tab w:val="left" w:pos="3060"/>
        <w:tab w:val="right" w:leader="dot" w:pos="9350"/>
      </w:tabs>
      <w:spacing w:after="100"/>
    </w:pPr>
    <w:rPr>
      <w:rFonts w:eastAsiaTheme="minorHAnsi"/>
      <w:b/>
      <w:noProof/>
      <w:snapToGrid/>
      <w:sz w:val="20"/>
    </w:rPr>
  </w:style>
  <w:style w:type="paragraph" w:styleId="ListParagraph">
    <w:name w:val="List Paragraph"/>
    <w:basedOn w:val="Normal"/>
    <w:uiPriority w:val="34"/>
    <w:qFormat/>
    <w:rsid w:val="00CA5AD6"/>
    <w:pPr>
      <w:widowControl/>
      <w:ind w:left="720"/>
      <w:contextualSpacing/>
    </w:pPr>
    <w:rPr>
      <w:rFonts w:eastAsiaTheme="minorHAnsi" w:cstheme="majorBidi"/>
      <w:snapToGrid/>
      <w:color w:val="365F91" w:themeColor="accent1" w:themeShade="BF"/>
      <w:szCs w:val="24"/>
    </w:rPr>
  </w:style>
  <w:style w:type="table" w:styleId="TableGrid">
    <w:name w:val="Table Grid"/>
    <w:basedOn w:val="TableNormal"/>
    <w:uiPriority w:val="39"/>
    <w:rsid w:val="00CA5AD6"/>
    <w:rPr>
      <w:rFonts w:eastAsiaTheme="minorHAnsi" w:cstheme="majorBidi"/>
      <w:color w:val="365F91" w:themeColor="accent1" w:themeShade="BF"/>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A5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0441">
      <w:bodyDiv w:val="1"/>
      <w:marLeft w:val="0"/>
      <w:marRight w:val="0"/>
      <w:marTop w:val="0"/>
      <w:marBottom w:val="0"/>
      <w:divBdr>
        <w:top w:val="none" w:sz="0" w:space="0" w:color="auto"/>
        <w:left w:val="none" w:sz="0" w:space="0" w:color="auto"/>
        <w:bottom w:val="none" w:sz="0" w:space="0" w:color="auto"/>
        <w:right w:val="none" w:sz="0" w:space="0" w:color="auto"/>
      </w:divBdr>
      <w:divsChild>
        <w:div w:id="1757052870">
          <w:marLeft w:val="0"/>
          <w:marRight w:val="0"/>
          <w:marTop w:val="0"/>
          <w:marBottom w:val="0"/>
          <w:divBdr>
            <w:top w:val="none" w:sz="0" w:space="0" w:color="auto"/>
            <w:left w:val="none" w:sz="0" w:space="0" w:color="auto"/>
            <w:bottom w:val="none" w:sz="0" w:space="0" w:color="auto"/>
            <w:right w:val="none" w:sz="0" w:space="0" w:color="auto"/>
          </w:divBdr>
          <w:divsChild>
            <w:div w:id="292751914">
              <w:marLeft w:val="0"/>
              <w:marRight w:val="0"/>
              <w:marTop w:val="0"/>
              <w:marBottom w:val="0"/>
              <w:divBdr>
                <w:top w:val="none" w:sz="0" w:space="0" w:color="auto"/>
                <w:left w:val="none" w:sz="0" w:space="0" w:color="auto"/>
                <w:bottom w:val="none" w:sz="0" w:space="0" w:color="auto"/>
                <w:right w:val="none" w:sz="0" w:space="0" w:color="auto"/>
              </w:divBdr>
              <w:divsChild>
                <w:div w:id="6934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25749">
      <w:bodyDiv w:val="1"/>
      <w:marLeft w:val="0"/>
      <w:marRight w:val="0"/>
      <w:marTop w:val="0"/>
      <w:marBottom w:val="0"/>
      <w:divBdr>
        <w:top w:val="none" w:sz="0" w:space="0" w:color="auto"/>
        <w:left w:val="none" w:sz="0" w:space="0" w:color="auto"/>
        <w:bottom w:val="none" w:sz="0" w:space="0" w:color="auto"/>
        <w:right w:val="none" w:sz="0" w:space="0" w:color="auto"/>
      </w:divBdr>
      <w:divsChild>
        <w:div w:id="1073308842">
          <w:marLeft w:val="0"/>
          <w:marRight w:val="0"/>
          <w:marTop w:val="0"/>
          <w:marBottom w:val="0"/>
          <w:divBdr>
            <w:top w:val="none" w:sz="0" w:space="0" w:color="auto"/>
            <w:left w:val="none" w:sz="0" w:space="0" w:color="auto"/>
            <w:bottom w:val="none" w:sz="0" w:space="0" w:color="auto"/>
            <w:right w:val="none" w:sz="0" w:space="0" w:color="auto"/>
          </w:divBdr>
          <w:divsChild>
            <w:div w:id="877356508">
              <w:marLeft w:val="0"/>
              <w:marRight w:val="0"/>
              <w:marTop w:val="0"/>
              <w:marBottom w:val="0"/>
              <w:divBdr>
                <w:top w:val="none" w:sz="0" w:space="0" w:color="auto"/>
                <w:left w:val="none" w:sz="0" w:space="0" w:color="auto"/>
                <w:bottom w:val="none" w:sz="0" w:space="0" w:color="auto"/>
                <w:right w:val="none" w:sz="0" w:space="0" w:color="auto"/>
              </w:divBdr>
              <w:divsChild>
                <w:div w:id="679157523">
                  <w:marLeft w:val="0"/>
                  <w:marRight w:val="0"/>
                  <w:marTop w:val="0"/>
                  <w:marBottom w:val="0"/>
                  <w:divBdr>
                    <w:top w:val="none" w:sz="0" w:space="0" w:color="auto"/>
                    <w:left w:val="none" w:sz="0" w:space="0" w:color="auto"/>
                    <w:bottom w:val="none" w:sz="0" w:space="0" w:color="auto"/>
                    <w:right w:val="none" w:sz="0" w:space="0" w:color="auto"/>
                  </w:divBdr>
                  <w:divsChild>
                    <w:div w:id="2062825730">
                      <w:marLeft w:val="0"/>
                      <w:marRight w:val="0"/>
                      <w:marTop w:val="0"/>
                      <w:marBottom w:val="0"/>
                      <w:divBdr>
                        <w:top w:val="none" w:sz="0" w:space="0" w:color="auto"/>
                        <w:left w:val="none" w:sz="0" w:space="0" w:color="auto"/>
                        <w:bottom w:val="none" w:sz="0" w:space="0" w:color="auto"/>
                        <w:right w:val="none" w:sz="0" w:space="0" w:color="auto"/>
                      </w:divBdr>
                      <w:divsChild>
                        <w:div w:id="624578699">
                          <w:marLeft w:val="0"/>
                          <w:marRight w:val="0"/>
                          <w:marTop w:val="0"/>
                          <w:marBottom w:val="0"/>
                          <w:divBdr>
                            <w:top w:val="none" w:sz="0" w:space="0" w:color="auto"/>
                            <w:left w:val="none" w:sz="0" w:space="0" w:color="auto"/>
                            <w:bottom w:val="none" w:sz="0" w:space="0" w:color="auto"/>
                            <w:right w:val="none" w:sz="0" w:space="0" w:color="auto"/>
                          </w:divBdr>
                        </w:div>
                        <w:div w:id="2472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leg.gov/Sessions/2021/Bills/House/PDF/H776v6.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leg.gov/BillLookUp/2021/h77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PR@sosnc.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NPR@sosnc.gov" TargetMode="External"/><Relationship Id="rId4" Type="http://schemas.openxmlformats.org/officeDocument/2006/relationships/settings" Target="settings.xml"/><Relationship Id="rId9" Type="http://schemas.openxmlformats.org/officeDocument/2006/relationships/hyperlink" Target="https://sosnc.gov/divisions/general_counsel/rulemaking_interested_person_mailing_lis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hdb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7604B-418D-42D5-8A1E-EE773899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lethdbg.dot</Template>
  <TotalTime>0</TotalTime>
  <Pages>27</Pages>
  <Words>9585</Words>
  <Characters>54641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Secretary of State's Office</Company>
  <LinksUpToDate>false</LinksUpToDate>
  <CharactersWithSpaces>64098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 Holloway</dc:creator>
  <cp:lastModifiedBy>Nicholas A. Macon</cp:lastModifiedBy>
  <cp:revision>2</cp:revision>
  <cp:lastPrinted>2022-10-19T19:50:00Z</cp:lastPrinted>
  <dcterms:created xsi:type="dcterms:W3CDTF">2022-10-20T15:16:00Z</dcterms:created>
  <dcterms:modified xsi:type="dcterms:W3CDTF">2022-10-20T15:16:00Z</dcterms:modified>
</cp:coreProperties>
</file>